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B0" w:rsidRDefault="0084225C">
      <w:pPr>
        <w:pStyle w:val="1"/>
        <w:jc w:val="center"/>
      </w:pPr>
      <w:r>
        <w:rPr>
          <w:rFonts w:hint="eastAsia"/>
        </w:rPr>
        <w:t>北京大学临床肿瘤学院奖励评优标准</w:t>
      </w:r>
    </w:p>
    <w:p w:rsidR="005773B0" w:rsidRDefault="0084225C">
      <w:pPr>
        <w:spacing w:before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月修订）</w:t>
      </w:r>
    </w:p>
    <w:tbl>
      <w:tblPr>
        <w:tblpPr w:leftFromText="180" w:rightFromText="180" w:vertAnchor="text" w:horzAnchor="page" w:tblpX="1367" w:tblpY="56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167"/>
        <w:gridCol w:w="1860"/>
        <w:gridCol w:w="3360"/>
      </w:tblGrid>
      <w:tr w:rsidR="005773B0">
        <w:trPr>
          <w:trHeight w:val="440"/>
        </w:trPr>
        <w:tc>
          <w:tcPr>
            <w:tcW w:w="1527" w:type="dxa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027" w:type="dxa"/>
            <w:gridSpan w:val="2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3360" w:type="dxa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 w:rsidR="005773B0">
        <w:trPr>
          <w:cantSplit/>
          <w:trHeight w:val="458"/>
        </w:trPr>
        <w:tc>
          <w:tcPr>
            <w:tcW w:w="1527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学术成绩</w:t>
            </w: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学术会议发言（国际性）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+10/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不同会议题目相同，仅计算一次最高分；</w:t>
            </w:r>
            <w:proofErr w:type="gramStart"/>
            <w:r>
              <w:rPr>
                <w:rFonts w:hint="eastAsia"/>
              </w:rPr>
              <w:t>相同会议</w:t>
            </w:r>
            <w:proofErr w:type="gramEnd"/>
            <w:r>
              <w:rPr>
                <w:rFonts w:hint="eastAsia"/>
              </w:rPr>
              <w:t>不同题目，仅计算一次最高分。</w:t>
            </w:r>
          </w:p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会议性质</w:t>
            </w:r>
            <w:proofErr w:type="gramStart"/>
            <w:r>
              <w:rPr>
                <w:rFonts w:hint="eastAsia"/>
              </w:rPr>
              <w:t>需主办</w:t>
            </w:r>
            <w:proofErr w:type="gramEnd"/>
            <w:r>
              <w:rPr>
                <w:rFonts w:hint="eastAsia"/>
              </w:rPr>
              <w:t>方提供证明，未提供者默认为全国性会议。</w:t>
            </w:r>
          </w:p>
          <w:p w:rsidR="005773B0" w:rsidRDefault="0084225C">
            <w:pPr>
              <w:spacing w:line="300" w:lineRule="auto"/>
            </w:pPr>
            <w:r>
              <w:rPr>
                <w:rFonts w:hint="eastAsia"/>
                <w:color w:val="FF0000"/>
              </w:rPr>
              <w:t>以“会议实际举办时间”为准。</w:t>
            </w:r>
          </w:p>
        </w:tc>
      </w:tr>
      <w:tr w:rsidR="005773B0">
        <w:trPr>
          <w:cantSplit/>
          <w:trHeight w:val="474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学术会议壁报（国际性）</w:t>
            </w:r>
          </w:p>
        </w:tc>
        <w:tc>
          <w:tcPr>
            <w:tcW w:w="1860" w:type="dxa"/>
            <w:vAlign w:val="center"/>
          </w:tcPr>
          <w:p w:rsidR="005773B0" w:rsidRDefault="0084225C">
            <w:r>
              <w:rPr>
                <w:rFonts w:hint="eastAsia"/>
              </w:rPr>
              <w:t>+5/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458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学术会议受邀（国际性）</w:t>
            </w:r>
          </w:p>
        </w:tc>
        <w:tc>
          <w:tcPr>
            <w:tcW w:w="1860" w:type="dxa"/>
            <w:vAlign w:val="center"/>
          </w:tcPr>
          <w:p w:rsidR="005773B0" w:rsidRDefault="0084225C">
            <w:r>
              <w:rPr>
                <w:rFonts w:hint="eastAsia"/>
              </w:rPr>
              <w:t>+2/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458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学术会议发言（全国性）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+4/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878"/>
          <w:ins w:id="0" w:author="dell" w:date="2017-10-10T09:12:00Z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  <w:rPr>
                <w:ins w:id="1" w:author="dell" w:date="2017-10-10T09:12:00Z"/>
              </w:rPr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壁报（全国性）</w:t>
            </w:r>
          </w:p>
        </w:tc>
        <w:tc>
          <w:tcPr>
            <w:tcW w:w="1860" w:type="dxa"/>
            <w:vAlign w:val="center"/>
          </w:tcPr>
          <w:p w:rsidR="005773B0" w:rsidRDefault="0084225C">
            <w:r>
              <w:rPr>
                <w:rFonts w:hint="eastAsia"/>
              </w:rPr>
              <w:t>+2/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  <w:rPr>
                <w:ins w:id="2" w:author="dell" w:date="2017-10-10T09:12:00Z"/>
              </w:rPr>
            </w:pPr>
          </w:p>
        </w:tc>
      </w:tr>
      <w:tr w:rsidR="005773B0">
        <w:trPr>
          <w:cantSplit/>
          <w:trHeight w:val="474"/>
          <w:ins w:id="3" w:author="dell" w:date="2017-10-10T09:12:00Z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  <w:rPr>
                <w:ins w:id="4" w:author="dell" w:date="2017-10-10T09:12:00Z"/>
              </w:rPr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  <w:rPr>
                <w:ins w:id="5" w:author="dell" w:date="2017-10-10T09:12:00Z"/>
              </w:rPr>
            </w:pPr>
            <w:r>
              <w:rPr>
                <w:rFonts w:hint="eastAsia"/>
              </w:rPr>
              <w:t>学术</w:t>
            </w:r>
            <w:r>
              <w:t>会议</w:t>
            </w:r>
            <w:r>
              <w:rPr>
                <w:rFonts w:hint="eastAsia"/>
              </w:rPr>
              <w:t>受邀（全国性）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rPr>
                <w:ins w:id="6" w:author="dell" w:date="2017-10-10T09:12:00Z"/>
              </w:rPr>
            </w:pPr>
            <w:r>
              <w:rPr>
                <w:rFonts w:hint="eastAsia"/>
              </w:rPr>
              <w:t>+1/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  <w:rPr>
                <w:ins w:id="7" w:author="dell" w:date="2017-10-10T09:12:00Z"/>
              </w:rPr>
            </w:pPr>
            <w:r>
              <w:rPr>
                <w:rFonts w:hint="eastAsia"/>
              </w:rPr>
              <w:t>最多加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</w:t>
            </w:r>
          </w:p>
        </w:tc>
      </w:tr>
      <w:tr w:rsidR="005773B0">
        <w:trPr>
          <w:cantSplit/>
          <w:trHeight w:val="169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国内统计源期刊发表综述等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+4/</w:t>
            </w:r>
            <w:r>
              <w:rPr>
                <w:rFonts w:hint="eastAsia"/>
              </w:rPr>
              <w:t>篇</w:t>
            </w:r>
          </w:p>
        </w:tc>
        <w:tc>
          <w:tcPr>
            <w:tcW w:w="3360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发表文章参照“北京大学医学部研究生发表学术论文的规定”执行（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为第一作者人数）；</w:t>
            </w:r>
            <w:r>
              <w:rPr>
                <w:rFonts w:hint="eastAsia"/>
                <w:color w:val="FF0000"/>
              </w:rPr>
              <w:t>以“发表”为准（毕业年级研究生可以“接受或清样”为准）</w:t>
            </w:r>
            <w:r>
              <w:rPr>
                <w:rFonts w:hint="eastAsia"/>
              </w:rPr>
              <w:t>。</w:t>
            </w:r>
          </w:p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仅计算第一作者文章，并列第一作者按</w:t>
            </w:r>
            <w:proofErr w:type="gramStart"/>
            <w:r>
              <w:rPr>
                <w:rFonts w:hint="eastAsia"/>
              </w:rPr>
              <w:t>北京大学优博评选</w:t>
            </w:r>
            <w:proofErr w:type="gramEnd"/>
            <w:r>
              <w:rPr>
                <w:rFonts w:hint="eastAsia"/>
              </w:rPr>
              <w:t>办法处理。</w:t>
            </w:r>
          </w:p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（本院《</w:t>
            </w:r>
            <w:r>
              <w:rPr>
                <w:rFonts w:hint="eastAsia"/>
                <w:i/>
              </w:rPr>
              <w:t>Chinese Journal of Cancer Research</w:t>
            </w:r>
            <w:r>
              <w:rPr>
                <w:rFonts w:hint="eastAsia"/>
              </w:rPr>
              <w:t>》按主要期刊对待，不算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收录文章；</w:t>
            </w:r>
            <w:proofErr w:type="spellStart"/>
            <w:r>
              <w:rPr>
                <w:rFonts w:hint="eastAsia"/>
                <w:i/>
              </w:rPr>
              <w:t>Oncotarget</w:t>
            </w:r>
            <w:proofErr w:type="spellEnd"/>
            <w:r>
              <w:rPr>
                <w:rFonts w:hint="eastAsia"/>
              </w:rPr>
              <w:t>和</w:t>
            </w:r>
            <w:r>
              <w:rPr>
                <w:rFonts w:hint="eastAsia"/>
                <w:i/>
              </w:rPr>
              <w:t>Tumor Biology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种期刊不再被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收录，不计算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收录文章）</w:t>
            </w:r>
          </w:p>
        </w:tc>
      </w:tr>
      <w:tr w:rsidR="005773B0">
        <w:trPr>
          <w:cantSplit/>
          <w:trHeight w:val="169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国内统计源期刊发表论著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+10/</w:t>
            </w:r>
            <w:r>
              <w:rPr>
                <w:rFonts w:hint="eastAsia"/>
              </w:rPr>
              <w:t>篇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10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发</w:t>
            </w:r>
            <w:r>
              <w:t>表综述</w:t>
            </w:r>
            <w:r>
              <w:rPr>
                <w:rFonts w:hint="eastAsia"/>
              </w:rPr>
              <w:t>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+10/</w:t>
            </w:r>
            <w:r>
              <w:rPr>
                <w:rFonts w:hint="eastAsia"/>
              </w:rPr>
              <w:t>篇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10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发表论著</w:t>
            </w:r>
            <w:r>
              <w:rPr>
                <w:rFonts w:hint="eastAsia"/>
              </w:rPr>
              <w:t xml:space="preserve"> IF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2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10+IF</w:t>
            </w:r>
            <w:r>
              <w:t>/N</w:t>
            </w:r>
            <w:r>
              <w:rPr>
                <w:rFonts w:hint="eastAsia"/>
              </w:rPr>
              <w:t>^2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10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发表论著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5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10+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IF</w:t>
            </w:r>
            <w:r>
              <w:t>/N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^2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10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发表论著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IF</w:t>
            </w: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10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10+IF^2</w:t>
            </w:r>
            <w:r>
              <w:t>/N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10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发表论著</w:t>
            </w:r>
            <w:r>
              <w:rPr>
                <w:rFonts w:hint="eastAsia"/>
              </w:rPr>
              <w:t xml:space="preserve"> IF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1100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10+IF^2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58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参编书籍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+6/</w:t>
            </w:r>
            <w:r>
              <w:rPr>
                <w:rFonts w:hint="eastAsia"/>
              </w:rPr>
              <w:t>部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外文翻译形式，分数乘</w:t>
            </w:r>
            <w:r>
              <w:rPr>
                <w:rFonts w:hint="eastAsia"/>
              </w:rPr>
              <w:t>0.5</w:t>
            </w:r>
          </w:p>
        </w:tc>
      </w:tr>
      <w:tr w:rsidR="005773B0">
        <w:trPr>
          <w:cantSplit/>
          <w:trHeight w:val="58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专利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+6/</w:t>
            </w:r>
            <w:r>
              <w:rPr>
                <w:rFonts w:hint="eastAsia"/>
              </w:rPr>
              <w:t>项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与医学相关，需批准</w:t>
            </w:r>
          </w:p>
        </w:tc>
      </w:tr>
      <w:tr w:rsidR="005773B0">
        <w:trPr>
          <w:cantSplit/>
          <w:trHeight w:val="548"/>
        </w:trPr>
        <w:tc>
          <w:tcPr>
            <w:tcW w:w="1527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国家级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+20/</w:t>
            </w:r>
            <w:r>
              <w:rPr>
                <w:rFonts w:hint="eastAsia"/>
              </w:rPr>
              <w:t>项</w:t>
            </w:r>
          </w:p>
        </w:tc>
        <w:tc>
          <w:tcPr>
            <w:tcW w:w="3360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非学业类表彰，相应等级分数</w:t>
            </w:r>
            <w:r>
              <w:rPr>
                <w:rFonts w:hint="eastAsia"/>
              </w:rPr>
              <w:t>*0.6</w:t>
            </w:r>
            <w:r>
              <w:rPr>
                <w:rFonts w:hint="eastAsia"/>
              </w:rPr>
              <w:t>（仅计算一次最高分）；集</w:t>
            </w:r>
            <w:r>
              <w:rPr>
                <w:rFonts w:hint="eastAsia"/>
              </w:rPr>
              <w:lastRenderedPageBreak/>
              <w:t>体活动（参加人数</w:t>
            </w:r>
            <w:r>
              <w:rPr>
                <w:rFonts w:hint="eastAsia"/>
              </w:rPr>
              <w:t>&gt;5</w:t>
            </w:r>
            <w:r>
              <w:rPr>
                <w:rFonts w:hint="eastAsia"/>
              </w:rPr>
              <w:t>人）获奖，相应等级分数</w:t>
            </w:r>
            <w:r>
              <w:rPr>
                <w:rFonts w:hint="eastAsia"/>
              </w:rPr>
              <w:t>*0.6</w:t>
            </w:r>
            <w:r>
              <w:rPr>
                <w:rFonts w:hint="eastAsia"/>
              </w:rPr>
              <w:t>（仅计算一次最高分）；学会性表彰</w:t>
            </w:r>
            <w:proofErr w:type="gramStart"/>
            <w:r>
              <w:rPr>
                <w:rFonts w:hint="eastAsia"/>
              </w:rPr>
              <w:t>限全国</w:t>
            </w:r>
            <w:proofErr w:type="gramEnd"/>
            <w:r>
              <w:rPr>
                <w:rFonts w:hint="eastAsia"/>
              </w:rPr>
              <w:t>二级以上学会，最高执行校级表彰标准。会议获得病例汇报、演讲等奖励，不加分，在同等条件下优先考虑评选。</w:t>
            </w:r>
          </w:p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获得表彰与申请本次表彰中所用材料不重复计算，</w:t>
            </w:r>
            <w:proofErr w:type="gramStart"/>
            <w:r>
              <w:rPr>
                <w:rFonts w:hint="eastAsia"/>
              </w:rPr>
              <w:t>按获得</w:t>
            </w:r>
            <w:proofErr w:type="gramEnd"/>
            <w:r>
              <w:rPr>
                <w:rFonts w:hint="eastAsia"/>
              </w:rPr>
              <w:t>表彰计一次。同一次奖励评优中获得多项表彰，按最高级别计一次。</w:t>
            </w:r>
          </w:p>
          <w:p w:rsidR="005773B0" w:rsidRDefault="0084225C">
            <w:pPr>
              <w:pStyle w:val="a0"/>
              <w:ind w:firstLineChars="0" w:firstLine="0"/>
            </w:pPr>
            <w:r>
              <w:rPr>
                <w:rFonts w:hint="eastAsia"/>
                <w:color w:val="FF0000"/>
              </w:rPr>
              <w:t>获校级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人以上的集体奖励（例如“先进班集体”“社会实践优秀集体”），主要参与者</w:t>
            </w:r>
            <w:r>
              <w:rPr>
                <w:rFonts w:hint="eastAsia"/>
                <w:color w:val="FF0000"/>
              </w:rPr>
              <w:t>+6</w:t>
            </w:r>
            <w:r>
              <w:rPr>
                <w:rFonts w:hint="eastAsia"/>
                <w:color w:val="FF0000"/>
              </w:rPr>
              <w:t>分，成员</w:t>
            </w:r>
            <w:r>
              <w:rPr>
                <w:rFonts w:hint="eastAsia"/>
                <w:color w:val="FF0000"/>
              </w:rPr>
              <w:t>+2</w:t>
            </w:r>
            <w:r>
              <w:rPr>
                <w:rFonts w:hint="eastAsia"/>
                <w:color w:val="FF0000"/>
              </w:rPr>
              <w:t>分。</w:t>
            </w:r>
          </w:p>
        </w:tc>
      </w:tr>
      <w:tr w:rsidR="005773B0">
        <w:trPr>
          <w:cantSplit/>
          <w:trHeight w:val="489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市级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+14/</w:t>
            </w:r>
            <w:r>
              <w:rPr>
                <w:rFonts w:hint="eastAsia"/>
              </w:rPr>
              <w:t>项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495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校级（含医学部级）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+10/</w:t>
            </w:r>
            <w:r>
              <w:rPr>
                <w:rFonts w:hint="eastAsia"/>
              </w:rPr>
              <w:t>项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486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6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474"/>
        </w:trPr>
        <w:tc>
          <w:tcPr>
            <w:tcW w:w="1527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3167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参加学习课程的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以上成绩优秀（≥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+10</w:t>
            </w:r>
            <w:r>
              <w:rPr>
                <w:rFonts w:hint="eastAsia"/>
              </w:rPr>
              <w:t>（</w:t>
            </w:r>
            <w:r>
              <w:t>科研型）</w:t>
            </w:r>
          </w:p>
        </w:tc>
        <w:tc>
          <w:tcPr>
            <w:tcW w:w="3360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只计算入学第一年成绩</w:t>
            </w:r>
          </w:p>
        </w:tc>
      </w:tr>
      <w:tr w:rsidR="005773B0">
        <w:trPr>
          <w:cantSplit/>
          <w:trHeight w:val="211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+3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229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以上的科室出</w:t>
            </w:r>
            <w:r>
              <w:t>科考核</w:t>
            </w:r>
            <w:r>
              <w:rPr>
                <w:rFonts w:hint="eastAsia"/>
              </w:rPr>
              <w:t>成绩优秀（≥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分）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7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 w:rsidR="005773B0" w:rsidRDefault="0084225C">
            <w:r>
              <w:rPr>
                <w:rFonts w:ascii="Helvetica" w:hAnsi="Helvetica" w:cs="Helvetica" w:hint="eastAsia"/>
              </w:rPr>
              <w:t>缺出</w:t>
            </w:r>
            <w:r>
              <w:rPr>
                <w:rFonts w:ascii="Helvetica" w:hAnsi="Helvetica" w:cs="Helvetica"/>
              </w:rPr>
              <w:t>科</w:t>
            </w:r>
            <w:r>
              <w:rPr>
                <w:rFonts w:ascii="Helvetica" w:hAnsi="Helvetica" w:cs="Helvetica" w:hint="eastAsia"/>
              </w:rPr>
              <w:t>考核一次或出科考核不合格，计</w:t>
            </w:r>
            <w:r>
              <w:rPr>
                <w:rFonts w:ascii="Helvetica" w:hAnsi="Helvetica" w:cs="Helvetica" w:hint="eastAsia"/>
              </w:rPr>
              <w:t>0</w:t>
            </w:r>
            <w:r>
              <w:rPr>
                <w:rFonts w:ascii="Helvetica" w:hAnsi="Helvetica" w:cs="Helvetica" w:hint="eastAsia"/>
              </w:rPr>
              <w:t>分</w:t>
            </w:r>
          </w:p>
        </w:tc>
      </w:tr>
      <w:tr w:rsidR="005773B0">
        <w:trPr>
          <w:cantSplit/>
          <w:trHeight w:val="247"/>
        </w:trPr>
        <w:tc>
          <w:tcPr>
            <w:tcW w:w="1527" w:type="dxa"/>
            <w:vMerge/>
            <w:vAlign w:val="center"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学位课程成绩不合格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 w:rsidR="005773B0" w:rsidRDefault="005773B0">
            <w:pPr>
              <w:spacing w:line="300" w:lineRule="auto"/>
            </w:pPr>
          </w:p>
        </w:tc>
      </w:tr>
      <w:tr w:rsidR="005773B0">
        <w:trPr>
          <w:cantSplit/>
          <w:trHeight w:val="247"/>
        </w:trPr>
        <w:tc>
          <w:tcPr>
            <w:tcW w:w="1527" w:type="dxa"/>
            <w:vAlign w:val="center"/>
          </w:tcPr>
          <w:p w:rsidR="005773B0" w:rsidRDefault="0084225C"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1860" w:type="dxa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2-6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且通过中期考</w:t>
            </w:r>
            <w:r>
              <w:rPr>
                <w:rFonts w:hint="eastAsia"/>
              </w:rPr>
              <w:t>核。</w:t>
            </w:r>
          </w:p>
        </w:tc>
      </w:tr>
      <w:tr w:rsidR="005773B0">
        <w:trPr>
          <w:cantSplit/>
          <w:trHeight w:val="247"/>
        </w:trPr>
        <w:tc>
          <w:tcPr>
            <w:tcW w:w="1527" w:type="dxa"/>
            <w:vAlign w:val="center"/>
          </w:tcPr>
          <w:p w:rsidR="005773B0" w:rsidRDefault="0084225C">
            <w:pPr>
              <w:spacing w:line="300" w:lineRule="auto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思政培训</w:t>
            </w:r>
            <w:proofErr w:type="gramEnd"/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积极参加医院、研究生会和研究生党支部组织的</w:t>
            </w:r>
            <w:proofErr w:type="gramStart"/>
            <w:r>
              <w:rPr>
                <w:rFonts w:hint="eastAsia"/>
                <w:color w:val="FF0000"/>
              </w:rPr>
              <w:t>思政教育</w:t>
            </w:r>
            <w:proofErr w:type="gramEnd"/>
            <w:r>
              <w:rPr>
                <w:rFonts w:hint="eastAsia"/>
                <w:color w:val="FF0000"/>
              </w:rPr>
              <w:t>培训活动。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+0.5</w:t>
            </w:r>
            <w:r>
              <w:rPr>
                <w:rFonts w:hint="eastAsia"/>
                <w:color w:val="FF0000"/>
              </w:rPr>
              <w:t>分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次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活动须经医院教育处或研究生党总支审核通过，以现场签到或照片为准。</w:t>
            </w:r>
          </w:p>
        </w:tc>
      </w:tr>
      <w:tr w:rsidR="005773B0">
        <w:trPr>
          <w:cantSplit/>
          <w:trHeight w:val="914"/>
        </w:trPr>
        <w:tc>
          <w:tcPr>
            <w:tcW w:w="1527" w:type="dxa"/>
            <w:vMerge w:val="restart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处分或批评</w:t>
            </w: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学业处分、纪律处分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 w:rsidR="005773B0" w:rsidRDefault="0084225C" w:rsidP="0084225C">
            <w:pPr>
              <w:spacing w:line="300" w:lineRule="auto"/>
            </w:pPr>
            <w:r>
              <w:rPr>
                <w:rFonts w:hint="eastAsia"/>
              </w:rPr>
              <w:t>包括延缓答辩、允许自动退学等；</w:t>
            </w:r>
            <w:r>
              <w:rPr>
                <w:rFonts w:hint="eastAsia"/>
              </w:rPr>
              <w:t>警告</w:t>
            </w:r>
            <w:r>
              <w:rPr>
                <w:rFonts w:hint="eastAsia"/>
              </w:rPr>
              <w:t>及以上处分</w:t>
            </w:r>
          </w:p>
        </w:tc>
      </w:tr>
      <w:tr w:rsidR="005773B0">
        <w:trPr>
          <w:cantSplit/>
          <w:trHeight w:val="169"/>
        </w:trPr>
        <w:tc>
          <w:tcPr>
            <w:tcW w:w="1527" w:type="dxa"/>
            <w:vMerge/>
          </w:tcPr>
          <w:p w:rsidR="005773B0" w:rsidRDefault="005773B0"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批评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5/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Align w:val="center"/>
          </w:tcPr>
          <w:p w:rsidR="005773B0" w:rsidRDefault="0084225C" w:rsidP="0084225C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受到教育处等部门的公开批评（在研究生微信群或教学网公开批评</w:t>
            </w:r>
            <w:bookmarkStart w:id="8" w:name="_GoBack"/>
            <w:bookmarkEnd w:id="8"/>
            <w:r>
              <w:rPr>
                <w:rFonts w:hint="eastAsia"/>
              </w:rPr>
              <w:t>等）。</w:t>
            </w:r>
          </w:p>
        </w:tc>
      </w:tr>
      <w:tr w:rsidR="005773B0">
        <w:trPr>
          <w:cantSplit/>
          <w:trHeight w:val="914"/>
        </w:trPr>
        <w:tc>
          <w:tcPr>
            <w:tcW w:w="152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3167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及时提交学习期间有关资料</w:t>
            </w:r>
          </w:p>
        </w:tc>
        <w:tc>
          <w:tcPr>
            <w:tcW w:w="18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+5</w:t>
            </w:r>
          </w:p>
        </w:tc>
        <w:tc>
          <w:tcPr>
            <w:tcW w:w="3360" w:type="dxa"/>
            <w:vAlign w:val="center"/>
          </w:tcPr>
          <w:p w:rsidR="005773B0" w:rsidRDefault="0084225C">
            <w:pPr>
              <w:spacing w:line="300" w:lineRule="auto"/>
            </w:pPr>
            <w:r>
              <w:rPr>
                <w:rFonts w:hint="eastAsia"/>
              </w:rPr>
              <w:t>按时在教学</w:t>
            </w:r>
            <w:r>
              <w:t>网</w:t>
            </w:r>
            <w:r>
              <w:rPr>
                <w:rFonts w:hint="eastAsia"/>
              </w:rPr>
              <w:t>提交相关记录（包括</w:t>
            </w:r>
            <w:r>
              <w:t>临床培训，</w:t>
            </w:r>
            <w:r>
              <w:rPr>
                <w:rFonts w:hint="eastAsia"/>
              </w:rPr>
              <w:t>课程评价，</w:t>
            </w:r>
            <w:r>
              <w:t>开题等）</w:t>
            </w:r>
          </w:p>
        </w:tc>
      </w:tr>
    </w:tbl>
    <w:p w:rsidR="005773B0" w:rsidRDefault="005773B0"/>
    <w:sectPr w:rsidR="00577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C08D9"/>
    <w:rsid w:val="000055CF"/>
    <w:rsid w:val="000E16D0"/>
    <w:rsid w:val="001755FE"/>
    <w:rsid w:val="001D093C"/>
    <w:rsid w:val="003E68AD"/>
    <w:rsid w:val="003F6343"/>
    <w:rsid w:val="00431724"/>
    <w:rsid w:val="00440479"/>
    <w:rsid w:val="004D4DCB"/>
    <w:rsid w:val="005773B0"/>
    <w:rsid w:val="005A6A76"/>
    <w:rsid w:val="005A7EE4"/>
    <w:rsid w:val="005F76D9"/>
    <w:rsid w:val="00622B0A"/>
    <w:rsid w:val="00654EF9"/>
    <w:rsid w:val="006B1D23"/>
    <w:rsid w:val="006E06BF"/>
    <w:rsid w:val="006F3F4C"/>
    <w:rsid w:val="007470AB"/>
    <w:rsid w:val="00774B5C"/>
    <w:rsid w:val="007A2797"/>
    <w:rsid w:val="007E6933"/>
    <w:rsid w:val="00827D17"/>
    <w:rsid w:val="0084225C"/>
    <w:rsid w:val="0086280A"/>
    <w:rsid w:val="00863784"/>
    <w:rsid w:val="008E5256"/>
    <w:rsid w:val="00A37361"/>
    <w:rsid w:val="00AE46D8"/>
    <w:rsid w:val="00B7611F"/>
    <w:rsid w:val="00CE609D"/>
    <w:rsid w:val="00CF027F"/>
    <w:rsid w:val="00CF5D49"/>
    <w:rsid w:val="00F00259"/>
    <w:rsid w:val="05161975"/>
    <w:rsid w:val="0A493D4C"/>
    <w:rsid w:val="0E5308C8"/>
    <w:rsid w:val="11E37DAD"/>
    <w:rsid w:val="11ED42A3"/>
    <w:rsid w:val="22C05589"/>
    <w:rsid w:val="24FC08D9"/>
    <w:rsid w:val="39792F0C"/>
    <w:rsid w:val="3E1E724B"/>
    <w:rsid w:val="51A6470B"/>
    <w:rsid w:val="55962B72"/>
    <w:rsid w:val="5A6D3852"/>
    <w:rsid w:val="5F8528E0"/>
    <w:rsid w:val="635860DC"/>
    <w:rsid w:val="6F6F31D0"/>
    <w:rsid w:val="754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E846D"/>
  <w15:docId w15:val="{A19DE9D7-E5C3-4370-AD6A-DC04DE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hAnsi="宋体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spacing w:line="360" w:lineRule="auto"/>
      <w:ind w:firstLineChars="200" w:firstLine="200"/>
    </w:pPr>
    <w:rPr>
      <w:rFonts w:ascii="Times New Roman" w:hAnsi="Times New Roman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宋体" w:hAnsi="宋体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宋体" w:hAnsi="宋体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203</Words>
  <Characters>1163</Characters>
  <Application>Microsoft Office Word</Application>
  <DocSecurity>0</DocSecurity>
  <Lines>9</Lines>
  <Paragraphs>2</Paragraphs>
  <ScaleCrop>false</ScaleCrop>
  <Company>pku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餹泡泡</dc:creator>
  <cp:lastModifiedBy>chen yanglin</cp:lastModifiedBy>
  <cp:revision>16</cp:revision>
  <dcterms:created xsi:type="dcterms:W3CDTF">2019-10-14T01:40:00Z</dcterms:created>
  <dcterms:modified xsi:type="dcterms:W3CDTF">2020-08-26T02:50:00Z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