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auto"/>
        </w:rPr>
      </w:pPr>
      <w:r>
        <w:rPr>
          <w:rFonts w:hint="eastAsia"/>
          <w:color w:val="auto"/>
        </w:rPr>
        <w:t>北京大学临床肿瘤学院研究生奖励评优标准</w:t>
      </w:r>
    </w:p>
    <w:p>
      <w:pPr>
        <w:spacing w:before="50" w:line="440" w:lineRule="exact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（2</w:t>
      </w:r>
      <w:r>
        <w:rPr>
          <w:rFonts w:ascii="黑体" w:hAnsi="黑体" w:eastAsia="黑体"/>
          <w:color w:val="auto"/>
          <w:sz w:val="32"/>
          <w:szCs w:val="32"/>
        </w:rPr>
        <w:t>0</w:t>
      </w:r>
      <w:r>
        <w:rPr>
          <w:rFonts w:hint="eastAsia" w:ascii="黑体" w:hAnsi="黑体" w:eastAsia="黑体"/>
          <w:color w:val="auto"/>
          <w:sz w:val="32"/>
          <w:szCs w:val="32"/>
        </w:rPr>
        <w:t>25年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/>
          <w:color w:val="auto"/>
          <w:sz w:val="32"/>
          <w:szCs w:val="32"/>
        </w:rPr>
        <w:t>月</w:t>
      </w:r>
      <w:r>
        <w:rPr>
          <w:rFonts w:hint="eastAsia" w:ascii="黑体" w:hAnsi="黑体" w:eastAsia="黑体"/>
          <w:color w:val="auto"/>
          <w:sz w:val="32"/>
          <w:szCs w:val="32"/>
        </w:rPr>
        <w:t>修订）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367" w:tblpY="561"/>
        <w:tblOverlap w:val="never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55"/>
        <w:gridCol w:w="4560"/>
        <w:gridCol w:w="2112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1755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基本内容</w:t>
            </w:r>
          </w:p>
        </w:tc>
        <w:tc>
          <w:tcPr>
            <w:tcW w:w="6672" w:type="dxa"/>
            <w:gridSpan w:val="2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分值</w:t>
            </w:r>
          </w:p>
        </w:tc>
        <w:tc>
          <w:tcPr>
            <w:tcW w:w="415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restart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基本素质（20%）</w:t>
            </w:r>
          </w:p>
        </w:tc>
        <w:tc>
          <w:tcPr>
            <w:tcW w:w="1755" w:type="dxa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思想政治</w:t>
            </w:r>
          </w:p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（1）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拥护中国共产党领导，认真学习贯彻党的基本理论、基本路线、基本方略，坚定中国特色社会主义道路自信、理论自信、制度自信、文化自信；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（2）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>热爱社会主义祖国，弘扬中华民族精神，自觉维护国家利益和民族团结，自觉践行社会主义核心价值观，增强社会责任感；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（3）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>关心集体，团队协作精神强，积极参加学校、院系、班级等组织的集体活动。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0-5</w:t>
            </w:r>
          </w:p>
        </w:tc>
        <w:tc>
          <w:tcPr>
            <w:tcW w:w="4152" w:type="dxa"/>
            <w:vMerge w:val="restart"/>
          </w:tcPr>
          <w:p>
            <w:pPr>
              <w:spacing w:line="300" w:lineRule="auto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行为规范</w:t>
            </w:r>
          </w:p>
        </w:tc>
        <w:tc>
          <w:tcPr>
            <w:tcW w:w="4560" w:type="dxa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（1）法治观念强，遵守宪法、法律、法规；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（2）提高个人修养，增强网络素养，具有良好的行为习惯；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（3）遵守《高等学校学生行为准则》《首都大学生文明公约》《北京大学章程》及学校制定的各项规章制度。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0-5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学习态度</w:t>
            </w:r>
          </w:p>
        </w:tc>
        <w:tc>
          <w:tcPr>
            <w:tcW w:w="4560" w:type="dxa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（1）坚持勤奋、严谨、求实、创新的优良学风，求真学问，练真本领；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（2）刻苦学习，勇于探索，努力掌握现代科学文化知识和专业技能；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（3）遵守考试与学习纪律、学术规范，坚守学术道德，维护学术诚信。</w:t>
            </w:r>
            <w:r>
              <w:rPr>
                <w:rFonts w:hint="eastAsia" w:cs="宋体"/>
                <w:b/>
                <w:bCs/>
                <w:color w:val="auto"/>
                <w:kern w:val="0"/>
                <w:lang w:bidi="ar"/>
              </w:rPr>
              <w:t xml:space="preserve"> 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0-5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身心健康</w:t>
            </w:r>
          </w:p>
        </w:tc>
        <w:tc>
          <w:tcPr>
            <w:tcW w:w="4560" w:type="dxa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（1）保持良好的生活状态和精神面貌，提高审美情趣；</w:t>
            </w:r>
            <w:r>
              <w:rPr>
                <w:rFonts w:hint="eastAsia" w:cs="宋体"/>
                <w:b/>
                <w:bCs/>
                <w:color w:val="auto"/>
                <w:kern w:val="0"/>
                <w:lang w:bidi="ar"/>
              </w:rPr>
              <w:t xml:space="preserve">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（2）注重心理品质建设，努力增强情绪控制力、挫折耐受力和社会适应能力，人际关系和谐；</w:t>
            </w:r>
            <w:r>
              <w:rPr>
                <w:rFonts w:hint="eastAsia" w:cs="宋体"/>
                <w:b/>
                <w:bCs/>
                <w:color w:val="auto"/>
                <w:kern w:val="0"/>
                <w:lang w:bidi="ar"/>
              </w:rPr>
              <w:t xml:space="preserve"> </w:t>
            </w: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（3）积极参加体育锻炼，完成体育达标要求。</w:t>
            </w:r>
            <w:r>
              <w:rPr>
                <w:rFonts w:hint="eastAsia" w:cs="宋体"/>
                <w:b/>
                <w:bCs/>
                <w:color w:val="auto"/>
                <w:kern w:val="0"/>
                <w:lang w:bidi="ar"/>
              </w:rPr>
              <w:t xml:space="preserve"> 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0-5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59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学术学业（6</w:t>
            </w:r>
            <w:r>
              <w:rPr>
                <w:color w:val="auto"/>
              </w:rPr>
              <w:t>5</w:t>
            </w:r>
            <w:r>
              <w:rPr>
                <w:rFonts w:hint="eastAsia"/>
                <w:color w:val="auto"/>
              </w:rPr>
              <w:t>%）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学术成绩</w:t>
            </w: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学术会议发言（国际）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+10/次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不同会议题目相同，仅计算一次最高分；相同会议不同题目，仅计算一次最高分。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会议性质需主办方提供证明，未提供者默认为国内会议。以“会议实际召开时间”为准。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国际会议的界定：会议地点在境外，或会议地点在境内，但由国际性学术组织举办的会议。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国内会议发言、壁报、受邀等最多加4次，其中线上会议不超过2次。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参会需提供邀请函以及参会证明材料（包括但不限于现场照片、机票、火车票等）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学术会议壁报（国际）</w:t>
            </w:r>
          </w:p>
        </w:tc>
        <w:tc>
          <w:tcPr>
            <w:tcW w:w="211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+5/次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学术会议受邀（国际）</w:t>
            </w:r>
          </w:p>
        </w:tc>
        <w:tc>
          <w:tcPr>
            <w:tcW w:w="211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+2/次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学术会议发言（国内）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+4/次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</w:t>
            </w:r>
            <w:r>
              <w:rPr>
                <w:color w:val="auto"/>
              </w:rPr>
              <w:t>会议</w:t>
            </w:r>
            <w:r>
              <w:rPr>
                <w:rFonts w:hint="eastAsia"/>
                <w:color w:val="auto"/>
              </w:rPr>
              <w:t>壁报（国内）</w:t>
            </w:r>
          </w:p>
        </w:tc>
        <w:tc>
          <w:tcPr>
            <w:tcW w:w="211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+2/次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学术</w:t>
            </w:r>
            <w:r>
              <w:rPr>
                <w:color w:val="auto"/>
              </w:rPr>
              <w:t>会议</w:t>
            </w:r>
            <w:r>
              <w:rPr>
                <w:rFonts w:hint="eastAsia"/>
                <w:color w:val="auto"/>
              </w:rPr>
              <w:t>受邀（国内）</w:t>
            </w:r>
          </w:p>
        </w:tc>
        <w:tc>
          <w:tcPr>
            <w:tcW w:w="2112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+1/次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国内统计源期刊发表综述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+4/篇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发表文章参照“北京大学医学部研究生发表学术论文的规定”执行；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以“发表”为准（毕业年级研究生可以“接受或清样”为准）。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仅计算第一作者文章。（本院《</w:t>
            </w:r>
            <w:r>
              <w:rPr>
                <w:rFonts w:hint="eastAsia"/>
                <w:i/>
                <w:color w:val="auto"/>
              </w:rPr>
              <w:t>Chinese Journal of Cancer Research</w:t>
            </w:r>
            <w:r>
              <w:rPr>
                <w:rFonts w:hint="eastAsia"/>
                <w:color w:val="auto"/>
              </w:rPr>
              <w:t>》按主要期刊对待，不算SCI收录文章。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若为并列一作，按并列一作中本院研究生的顺序分别按权重加分，具体为：</w:t>
            </w:r>
            <w:r>
              <w:rPr>
                <w:rFonts w:ascii="宋体" w:hAnsi="宋体"/>
                <w:color w:val="auto"/>
                <w:szCs w:val="24"/>
              </w:rPr>
              <w:t>二人并列按</w:t>
            </w:r>
            <w:r>
              <w:rPr>
                <w:rFonts w:hint="eastAsia" w:ascii="宋体" w:hAnsi="宋体"/>
                <w:color w:val="auto"/>
                <w:szCs w:val="24"/>
              </w:rPr>
              <w:t>0.</w:t>
            </w:r>
            <w:r>
              <w:rPr>
                <w:rFonts w:ascii="宋体" w:hAnsi="宋体"/>
                <w:color w:val="auto"/>
                <w:szCs w:val="24"/>
              </w:rPr>
              <w:t>6</w:t>
            </w:r>
            <w:r>
              <w:rPr>
                <w:rFonts w:hint="eastAsia" w:ascii="宋体" w:hAnsi="宋体"/>
                <w:color w:val="auto"/>
                <w:szCs w:val="24"/>
              </w:rPr>
              <w:t>/0.</w:t>
            </w:r>
            <w:r>
              <w:rPr>
                <w:rFonts w:ascii="宋体" w:hAnsi="宋体"/>
                <w:color w:val="auto"/>
                <w:szCs w:val="24"/>
              </w:rPr>
              <w:t>4权重计分，三人并列按</w:t>
            </w:r>
            <w:r>
              <w:rPr>
                <w:rFonts w:hint="eastAsia" w:ascii="宋体" w:hAnsi="宋体"/>
                <w:color w:val="auto"/>
                <w:szCs w:val="24"/>
              </w:rPr>
              <w:t>0.4/0.3/0.3</w:t>
            </w:r>
            <w:r>
              <w:rPr>
                <w:rFonts w:ascii="宋体" w:hAnsi="宋体"/>
                <w:color w:val="auto"/>
                <w:szCs w:val="24"/>
              </w:rPr>
              <w:t>权重计分，四人</w:t>
            </w:r>
            <w:r>
              <w:rPr>
                <w:rFonts w:hint="eastAsia" w:ascii="宋体" w:hAnsi="宋体"/>
                <w:color w:val="auto"/>
                <w:szCs w:val="24"/>
              </w:rPr>
              <w:t>及以上</w:t>
            </w:r>
            <w:r>
              <w:rPr>
                <w:rFonts w:ascii="宋体" w:hAnsi="宋体"/>
                <w:color w:val="auto"/>
                <w:szCs w:val="24"/>
              </w:rPr>
              <w:t>并列</w:t>
            </w:r>
            <w:r>
              <w:rPr>
                <w:rFonts w:hint="eastAsia" w:ascii="宋体" w:hAnsi="宋体"/>
                <w:color w:val="auto"/>
                <w:szCs w:val="24"/>
              </w:rPr>
              <w:t>平均</w:t>
            </w:r>
            <w:r>
              <w:rPr>
                <w:rFonts w:ascii="宋体" w:hAnsi="宋体"/>
                <w:color w:val="auto"/>
                <w:szCs w:val="24"/>
              </w:rPr>
              <w:t>计分</w:t>
            </w:r>
            <w:r>
              <w:rPr>
                <w:rFonts w:hint="eastAsia" w:ascii="宋体" w:hAnsi="宋体"/>
                <w:color w:val="auto"/>
                <w:szCs w:val="24"/>
              </w:rPr>
              <w:t>。（N为权重）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以“发表”当时的影响因子为准。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第一作者和通讯作者的第一单位须为我院。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国内统计源期刊发表论著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+</w:t>
            </w:r>
            <w:r>
              <w:rPr>
                <w:color w:val="auto"/>
              </w:rPr>
              <w:t>8</w:t>
            </w:r>
            <w:r>
              <w:rPr>
                <w:rFonts w:hint="eastAsia"/>
                <w:color w:val="auto"/>
              </w:rPr>
              <w:t>/篇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</w:t>
            </w:r>
            <w:r>
              <w:rPr>
                <w:color w:val="auto"/>
              </w:rPr>
              <w:t>表综述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按照“SCI发表论著”标准计算所得分数*0.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SCI发表论著 IF＜</w:t>
            </w:r>
            <w:r>
              <w:rPr>
                <w:color w:val="auto"/>
              </w:rPr>
              <w:t>5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10+IF*</w:t>
            </w:r>
            <w:r>
              <w:rPr>
                <w:color w:val="auto"/>
              </w:rPr>
              <w:t>N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SCI发表论著 5≤IF＜10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10+IF*</w:t>
            </w:r>
            <w:r>
              <w:rPr>
                <w:color w:val="auto"/>
              </w:rPr>
              <w:t>N)*1.2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SCI发表论著 10≤IF＜20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color w:val="auto"/>
              </w:rPr>
              <w:t>(10+</w:t>
            </w:r>
            <w:r>
              <w:rPr>
                <w:rFonts w:hint="eastAsia"/>
                <w:color w:val="auto"/>
              </w:rPr>
              <w:t>IF*</w:t>
            </w:r>
            <w:r>
              <w:rPr>
                <w:color w:val="auto"/>
              </w:rPr>
              <w:t>N)*1.5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SCI发表论著 20≤IF＜30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color w:val="auto"/>
              </w:rPr>
              <w:t>(10+</w:t>
            </w:r>
            <w:r>
              <w:rPr>
                <w:rFonts w:hint="eastAsia"/>
                <w:color w:val="auto"/>
              </w:rPr>
              <w:t>IF*</w:t>
            </w:r>
            <w:r>
              <w:rPr>
                <w:color w:val="auto"/>
              </w:rPr>
              <w:t>N)*1.</w:t>
            </w: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SCI发表论著 IF≥30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color w:val="auto"/>
              </w:rPr>
              <w:t>(10+</w:t>
            </w:r>
            <w:r>
              <w:rPr>
                <w:rFonts w:hint="eastAsia"/>
                <w:color w:val="auto"/>
              </w:rPr>
              <w:t>IF*</w:t>
            </w:r>
            <w:r>
              <w:rPr>
                <w:color w:val="auto"/>
              </w:rPr>
              <w:t>N)*</w:t>
            </w:r>
            <w:r>
              <w:rPr>
                <w:rFonts w:hint="eastAsia"/>
                <w:color w:val="auto"/>
              </w:rPr>
              <w:t>2.1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参编</w:t>
            </w:r>
            <w:r>
              <w:rPr>
                <w:rFonts w:hint="eastAsia"/>
                <w:color w:val="auto"/>
                <w:lang w:val="en-US" w:eastAsia="zh-CN"/>
              </w:rPr>
              <w:t>规划教材</w:t>
            </w:r>
            <w:r>
              <w:rPr>
                <w:rFonts w:hint="eastAsia"/>
                <w:color w:val="auto"/>
              </w:rPr>
              <w:t>书籍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主编副主编+10；编委+8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spacing w:line="30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以书籍中清晰列出主编、副主编、编委名字为准。</w:t>
            </w:r>
          </w:p>
          <w:p>
            <w:pPr>
              <w:spacing w:line="30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名字仅在某一章节后标注的，分数</w:t>
            </w:r>
            <w:r>
              <w:rPr>
                <w:rFonts w:hint="eastAsia"/>
                <w:color w:val="auto"/>
              </w:rPr>
              <w:t>*0.5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外文翻译形式，分数*0.5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参编</w:t>
            </w:r>
            <w:r>
              <w:rPr>
                <w:rFonts w:hint="eastAsia"/>
                <w:color w:val="auto"/>
                <w:lang w:val="en-US" w:eastAsia="zh-CN"/>
              </w:rPr>
              <w:t>非规划教材</w:t>
            </w:r>
            <w:r>
              <w:rPr>
                <w:rFonts w:hint="eastAsia"/>
                <w:color w:val="auto"/>
              </w:rPr>
              <w:t>书籍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主编副主编+8；编委+6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专利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1-6/项</w:t>
            </w:r>
          </w:p>
        </w:tc>
        <w:tc>
          <w:tcPr>
            <w:tcW w:w="415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与医学相关，需批准。按照专利中学生参与者的顺序依次+6/5/4/3/2/1分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表彰</w:t>
            </w: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一等奖+20/项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二等奖+18/项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三等奖+16/项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优秀奖+14/项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spacing w:line="30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范围：教育部等部委主办、北京市主办、北京大学主办、北京大学医学部主办、本学院主办、二级以上学会主办。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非学业类表彰，相应等级分数*0.6（仅计算一次最高分）；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学会性表彰限全国二级以上学会，最高执行校级表彰标准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需提供二级以上学会证明）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会议获得病例汇报、演讲等奖励，不加分，在同等条件下优先考虑评选。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同一次奖励评优中获得多项表彰，按最高级别计一次。</w:t>
            </w:r>
          </w:p>
          <w:p>
            <w:pPr>
              <w:spacing w:line="30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通过本标准评出的奖励表彰不作为此次评优的依据，不计分。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研究生综合能力提升活动（含文献阅读及前沿进展）获奖者+2分/次。</w:t>
            </w:r>
          </w:p>
          <w:p>
            <w:pPr>
              <w:spacing w:line="30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两人及以上获得表彰按照团队加分：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证书以集体名义发放的，例如</w:t>
            </w:r>
            <w:r>
              <w:rPr>
                <w:rFonts w:hint="eastAsia"/>
                <w:color w:val="auto"/>
              </w:rPr>
              <w:t>“先进班集体”</w:t>
            </w:r>
            <w:r>
              <w:rPr>
                <w:rFonts w:hint="eastAsia"/>
                <w:color w:val="auto"/>
                <w:lang w:eastAsia="zh-CN"/>
              </w:rPr>
              <w:t>“</w:t>
            </w:r>
            <w:r>
              <w:rPr>
                <w:rFonts w:hint="eastAsia"/>
                <w:color w:val="auto"/>
                <w:lang w:val="en-US" w:eastAsia="zh-CN"/>
              </w:rPr>
              <w:t>优秀党支部”等</w:t>
            </w:r>
            <w:r>
              <w:rPr>
                <w:rFonts w:hint="eastAsia"/>
                <w:color w:val="auto"/>
              </w:rPr>
              <w:t>，主要参与者按照等级标准得分*0.6，成员按照等级标准得分*0.2。</w:t>
            </w: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2、证书以团队成员名字发放的，前三名成员</w:t>
            </w:r>
            <w:r>
              <w:rPr>
                <w:rFonts w:hint="eastAsia"/>
                <w:color w:val="auto"/>
              </w:rPr>
              <w:t>按照等级标准得分*0.6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四到六名成员</w:t>
            </w:r>
            <w:r>
              <w:rPr>
                <w:rFonts w:hint="eastAsia"/>
                <w:color w:val="auto"/>
              </w:rPr>
              <w:t>按照等级标准得分*0.</w:t>
            </w:r>
            <w:r>
              <w:rPr>
                <w:rFonts w:hint="eastAsia"/>
                <w:color w:val="auto"/>
                <w:lang w:val="en-US" w:eastAsia="zh-CN"/>
              </w:rPr>
              <w:t>4，七名及以后成员</w:t>
            </w:r>
            <w:r>
              <w:rPr>
                <w:rFonts w:hint="eastAsia"/>
                <w:color w:val="auto"/>
              </w:rPr>
              <w:t>按照等级标准得分*0.</w:t>
            </w:r>
            <w:r>
              <w:rPr>
                <w:rFonts w:hint="eastAsia"/>
                <w:color w:val="auto"/>
                <w:lang w:val="en-US" w:eastAsia="zh-CN"/>
              </w:rPr>
              <w:t>2（以证书中排名的绝对顺序为准）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市级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一等奖+14/项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二等奖+12/项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三等奖+10/项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优秀奖+8/项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校级（含医学部级）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一等奖+10/项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二等奖+8/项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三等奖+6/项</w:t>
            </w:r>
          </w:p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优秀奖+4/项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院级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一等奖+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/项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二等奖+4/项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三等奖+2/项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优秀奖+1/项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学习情况</w:t>
            </w: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平均学分绩点（GPA）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平均绩点分数*4</w:t>
            </w:r>
          </w:p>
        </w:tc>
        <w:tc>
          <w:tcPr>
            <w:tcW w:w="4152" w:type="dxa"/>
            <w:vMerge w:val="restart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 xml:space="preserve"> </w:t>
            </w:r>
          </w:p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必修课程成绩不合格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单项否决</w:t>
            </w:r>
          </w:p>
        </w:tc>
        <w:tc>
          <w:tcPr>
            <w:tcW w:w="4152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559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实践能力（</w:t>
            </w:r>
            <w:r>
              <w:rPr>
                <w:color w:val="auto"/>
              </w:rPr>
              <w:t>15</w:t>
            </w:r>
            <w:r>
              <w:rPr>
                <w:rFonts w:hint="eastAsia"/>
                <w:color w:val="auto"/>
              </w:rPr>
              <w:t>%）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社会工作</w:t>
            </w: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热心为同学服务，有较强的组织领导能力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0-6</w:t>
            </w:r>
          </w:p>
        </w:tc>
        <w:tc>
          <w:tcPr>
            <w:tcW w:w="415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学生</w:t>
            </w:r>
            <w:r>
              <w:rPr>
                <w:color w:val="auto"/>
              </w:rPr>
              <w:t>干部</w:t>
            </w:r>
            <w:r>
              <w:rPr>
                <w:rFonts w:hint="eastAsia"/>
                <w:color w:val="auto"/>
              </w:rPr>
              <w:t>限</w:t>
            </w:r>
            <w:r>
              <w:rPr>
                <w:color w:val="auto"/>
              </w:rPr>
              <w:t>任职</w:t>
            </w:r>
            <w:r>
              <w:rPr>
                <w:rFonts w:hint="eastAsia"/>
                <w:color w:val="auto"/>
              </w:rPr>
              <w:t>于</w:t>
            </w:r>
            <w:r>
              <w:rPr>
                <w:color w:val="auto"/>
              </w:rPr>
              <w:t>肿瘤医院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color w:val="auto"/>
              </w:rPr>
              <w:t>且通过中期考</w:t>
            </w:r>
            <w:r>
              <w:rPr>
                <w:rFonts w:hint="eastAsia"/>
                <w:color w:val="auto"/>
              </w:rPr>
              <w:t>核。研究生党支部干部由研究生党总支进行打分。研究生会干部由研究生会主席团进行打分。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与“优秀学生干部”表彰不重复计分。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党支部：书记0-6分，支委0-5分；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研会：主席团0-6分，部长0-5分，干事0-4分；</w:t>
            </w:r>
          </w:p>
          <w:p>
            <w:pPr>
              <w:pStyle w:val="2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团支部：书记0-2分，支委0-1分。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心理委员：0-1分。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参与学院“助管”或“助教”工作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0-3</w:t>
            </w:r>
          </w:p>
        </w:tc>
        <w:tc>
          <w:tcPr>
            <w:tcW w:w="415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经教育处审核通过并有备案，考核合格者。</w:t>
            </w:r>
          </w:p>
          <w:p>
            <w:pPr>
              <w:pStyle w:val="2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与“优秀助管”或“优秀助教”表彰不重复计分。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思政培训</w:t>
            </w:r>
          </w:p>
        </w:tc>
        <w:tc>
          <w:tcPr>
            <w:tcW w:w="4560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积极参加医院、研究生会和研究生党支部组织的思政教育培训活动。</w:t>
            </w:r>
          </w:p>
        </w:tc>
        <w:tc>
          <w:tcPr>
            <w:tcW w:w="211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+0.5分/次</w:t>
            </w:r>
          </w:p>
        </w:tc>
        <w:tc>
          <w:tcPr>
            <w:tcW w:w="4152" w:type="dxa"/>
            <w:vAlign w:val="center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活动须经医院教育处或研究生党总支审核通过，以现场签到或照片为准。总加分不超过</w:t>
            </w:r>
            <w:r>
              <w:rPr>
                <w:color w:val="auto"/>
              </w:rPr>
              <w:t>6</w:t>
            </w:r>
            <w:r>
              <w:rPr>
                <w:rFonts w:hint="eastAsia"/>
                <w:color w:val="auto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restart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加减分项</w:t>
            </w:r>
          </w:p>
        </w:tc>
        <w:tc>
          <w:tcPr>
            <w:tcW w:w="1755" w:type="dxa"/>
            <w:vMerge w:val="restart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受到医院教育处等部门通报表扬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color w:val="auto"/>
              </w:rPr>
              <w:t>+5/</w:t>
            </w:r>
            <w:r>
              <w:rPr>
                <w:rFonts w:hint="eastAsia"/>
                <w:color w:val="auto"/>
              </w:rPr>
              <w:t>次</w:t>
            </w:r>
          </w:p>
        </w:tc>
        <w:tc>
          <w:tcPr>
            <w:tcW w:w="4152" w:type="dxa"/>
            <w:vMerge w:val="restart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经标准法换算总分后，在总分基础上直接加减分。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三次（不含）以上不参加指定的思想政治或学术学业活动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-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分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不在规定时间内提交材料（包含</w:t>
            </w:r>
            <w:r>
              <w:rPr>
                <w:rFonts w:cs="宋体"/>
                <w:color w:val="auto"/>
                <w:kern w:val="0"/>
                <w:lang w:bidi="ar"/>
              </w:rPr>
              <w:t>但不限于培养、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>学位</w:t>
            </w:r>
            <w:r>
              <w:rPr>
                <w:rFonts w:cs="宋体"/>
                <w:color w:val="auto"/>
                <w:kern w:val="0"/>
                <w:lang w:bidi="ar"/>
              </w:rPr>
              <w:t>、学籍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>、</w:t>
            </w:r>
            <w:r>
              <w:rPr>
                <w:rFonts w:cs="宋体"/>
                <w:color w:val="auto"/>
                <w:kern w:val="0"/>
                <w:lang w:bidi="ar"/>
              </w:rPr>
              <w:t>学工</w:t>
            </w:r>
            <w:r>
              <w:rPr>
                <w:rFonts w:hint="eastAsia" w:cs="宋体"/>
                <w:color w:val="auto"/>
                <w:kern w:val="0"/>
                <w:lang w:bidi="ar"/>
              </w:rPr>
              <w:t>等材料）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-1/次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受到学校相关部门或医院教育处公开批评（在微信群或教学网等）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-5/次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经医务处核实的患者投诉，责任在本人者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-5/次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在医疗事故中负有责任者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-5/次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违反《北京大学研究生学籍管理办法》相关规定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单项否决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受到《北京大学学生违纪处分办法》相关规定处理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单项否决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59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  <w:tc>
          <w:tcPr>
            <w:tcW w:w="4560" w:type="dxa"/>
          </w:tcPr>
          <w:p>
            <w:pPr>
              <w:widowControl/>
              <w:jc w:val="left"/>
              <w:rPr>
                <w:rFonts w:cs="宋体"/>
                <w:color w:val="auto"/>
                <w:kern w:val="0"/>
                <w:lang w:bidi="ar"/>
              </w:rPr>
            </w:pPr>
            <w:r>
              <w:rPr>
                <w:rFonts w:hint="eastAsia" w:cs="宋体"/>
                <w:color w:val="auto"/>
                <w:kern w:val="0"/>
                <w:lang w:bidi="ar"/>
              </w:rPr>
              <w:t>受到学业处理（延缓答辩、允许自动退学等）</w:t>
            </w:r>
          </w:p>
        </w:tc>
        <w:tc>
          <w:tcPr>
            <w:tcW w:w="2112" w:type="dxa"/>
          </w:tcPr>
          <w:p>
            <w:pPr>
              <w:spacing w:line="30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单项否决</w:t>
            </w:r>
          </w:p>
        </w:tc>
        <w:tc>
          <w:tcPr>
            <w:tcW w:w="4152" w:type="dxa"/>
            <w:vMerge w:val="continue"/>
          </w:tcPr>
          <w:p>
            <w:pPr>
              <w:spacing w:line="300" w:lineRule="auto"/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ind w:firstLine="240" w:firstLineChars="100"/>
        <w:rPr>
          <w:color w:val="auto"/>
        </w:rPr>
      </w:pPr>
      <w:r>
        <w:rPr>
          <w:rFonts w:hint="eastAsia"/>
          <w:color w:val="auto"/>
        </w:rPr>
        <w:t>说明：</w:t>
      </w:r>
    </w:p>
    <w:p>
      <w:pPr>
        <w:rPr>
          <w:color w:val="auto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（1）学生综合测评（评分）小组由包含班委在内的7名班级同学组成。</w:t>
      </w:r>
    </w:p>
    <w:p>
      <w:pPr>
        <w:rPr>
          <w:color w:val="auto"/>
        </w:rPr>
      </w:pPr>
      <w:r>
        <w:rPr>
          <w:rFonts w:hint="eastAsia"/>
          <w:color w:val="auto"/>
        </w:rPr>
        <w:t>（2）本评优标准总分100分，按照标准化法计算个人总分。</w:t>
      </w:r>
    </w:p>
    <w:p>
      <w:pPr>
        <w:rPr>
          <w:color w:val="auto"/>
        </w:rPr>
      </w:pPr>
      <w:r>
        <w:rPr>
          <w:rFonts w:hint="eastAsia"/>
          <w:color w:val="auto"/>
        </w:rPr>
        <w:t>（3）延期期间不参与素质综合测评以及奖励评优和奖学金评定。</w:t>
      </w:r>
    </w:p>
    <w:p>
      <w:pPr>
        <w:rPr>
          <w:color w:val="auto"/>
        </w:rPr>
      </w:pPr>
      <w:r>
        <w:rPr>
          <w:rFonts w:hint="eastAsia"/>
          <w:color w:val="auto"/>
        </w:rPr>
        <w:t>（4）其他未尽事宜参照《北京大学学生素质综合测评办法（试行）》执行。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0D77BF"/>
    <w:multiLevelType w:val="singleLevel"/>
    <w:tmpl w:val="E60D77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WI1ZjhhOTJkOWZjYmI5YTFjNTVhMmNhZGY4ZmQifQ=="/>
  </w:docVars>
  <w:rsids>
    <w:rsidRoot w:val="4F3946A1"/>
    <w:rsid w:val="00057FE7"/>
    <w:rsid w:val="0007270B"/>
    <w:rsid w:val="00095EC9"/>
    <w:rsid w:val="000C4538"/>
    <w:rsid w:val="000C4F7A"/>
    <w:rsid w:val="001A5635"/>
    <w:rsid w:val="001A7FF2"/>
    <w:rsid w:val="00206588"/>
    <w:rsid w:val="0021096D"/>
    <w:rsid w:val="002220A2"/>
    <w:rsid w:val="002A717A"/>
    <w:rsid w:val="002B574B"/>
    <w:rsid w:val="003B3E99"/>
    <w:rsid w:val="003D0991"/>
    <w:rsid w:val="0041546E"/>
    <w:rsid w:val="00432735"/>
    <w:rsid w:val="004327D2"/>
    <w:rsid w:val="00457F4F"/>
    <w:rsid w:val="004D353D"/>
    <w:rsid w:val="004F73E9"/>
    <w:rsid w:val="005127E1"/>
    <w:rsid w:val="00522EAD"/>
    <w:rsid w:val="0055344B"/>
    <w:rsid w:val="007A068F"/>
    <w:rsid w:val="007B50C0"/>
    <w:rsid w:val="007D44CD"/>
    <w:rsid w:val="007D4F73"/>
    <w:rsid w:val="007F32CD"/>
    <w:rsid w:val="00846057"/>
    <w:rsid w:val="00862462"/>
    <w:rsid w:val="008B5291"/>
    <w:rsid w:val="00954CC0"/>
    <w:rsid w:val="00984955"/>
    <w:rsid w:val="009C32B0"/>
    <w:rsid w:val="009D76BD"/>
    <w:rsid w:val="00A35EFB"/>
    <w:rsid w:val="00A37941"/>
    <w:rsid w:val="00A579F6"/>
    <w:rsid w:val="00A9086A"/>
    <w:rsid w:val="00B736EC"/>
    <w:rsid w:val="00BB5AD9"/>
    <w:rsid w:val="00BE59D9"/>
    <w:rsid w:val="00C075C1"/>
    <w:rsid w:val="00C5069C"/>
    <w:rsid w:val="00D20806"/>
    <w:rsid w:val="00D23BDE"/>
    <w:rsid w:val="00DD71C1"/>
    <w:rsid w:val="00DE28CF"/>
    <w:rsid w:val="00DE5492"/>
    <w:rsid w:val="00E1626A"/>
    <w:rsid w:val="00E2069D"/>
    <w:rsid w:val="00E31DEA"/>
    <w:rsid w:val="00E61FD7"/>
    <w:rsid w:val="00E7516E"/>
    <w:rsid w:val="00E96FBF"/>
    <w:rsid w:val="00F10847"/>
    <w:rsid w:val="00F70C37"/>
    <w:rsid w:val="00F70D0E"/>
    <w:rsid w:val="00FB7002"/>
    <w:rsid w:val="00FC4854"/>
    <w:rsid w:val="02240864"/>
    <w:rsid w:val="041E2670"/>
    <w:rsid w:val="05422BD6"/>
    <w:rsid w:val="07B72601"/>
    <w:rsid w:val="08C97079"/>
    <w:rsid w:val="08D8566B"/>
    <w:rsid w:val="0D3D4794"/>
    <w:rsid w:val="102C5010"/>
    <w:rsid w:val="14AC3A76"/>
    <w:rsid w:val="15DD68C7"/>
    <w:rsid w:val="16D8616F"/>
    <w:rsid w:val="188E300D"/>
    <w:rsid w:val="19517C34"/>
    <w:rsid w:val="1D056B52"/>
    <w:rsid w:val="1E9B185C"/>
    <w:rsid w:val="1EFA2FED"/>
    <w:rsid w:val="1F58111F"/>
    <w:rsid w:val="20377AFF"/>
    <w:rsid w:val="22FF2148"/>
    <w:rsid w:val="254A5729"/>
    <w:rsid w:val="29674CE8"/>
    <w:rsid w:val="2C36430A"/>
    <w:rsid w:val="2CE840A1"/>
    <w:rsid w:val="2D8A00C5"/>
    <w:rsid w:val="310B40AF"/>
    <w:rsid w:val="31E90437"/>
    <w:rsid w:val="32120CC9"/>
    <w:rsid w:val="32395D01"/>
    <w:rsid w:val="33F434F1"/>
    <w:rsid w:val="35D221FB"/>
    <w:rsid w:val="3A142078"/>
    <w:rsid w:val="3D89520A"/>
    <w:rsid w:val="3DD8130A"/>
    <w:rsid w:val="402D1387"/>
    <w:rsid w:val="411E7F61"/>
    <w:rsid w:val="46C77759"/>
    <w:rsid w:val="4B0667D0"/>
    <w:rsid w:val="4E9E71EA"/>
    <w:rsid w:val="4EC331A5"/>
    <w:rsid w:val="4EC469E9"/>
    <w:rsid w:val="4F3946A1"/>
    <w:rsid w:val="51BC18F9"/>
    <w:rsid w:val="51F84050"/>
    <w:rsid w:val="59953ABE"/>
    <w:rsid w:val="5C71066C"/>
    <w:rsid w:val="5D340139"/>
    <w:rsid w:val="5D3C4795"/>
    <w:rsid w:val="5DE605DE"/>
    <w:rsid w:val="60CE6FB0"/>
    <w:rsid w:val="62BD3D0C"/>
    <w:rsid w:val="64442FE5"/>
    <w:rsid w:val="649F69C4"/>
    <w:rsid w:val="668E0B28"/>
    <w:rsid w:val="66A373E4"/>
    <w:rsid w:val="66DA4BA9"/>
    <w:rsid w:val="6B6640AC"/>
    <w:rsid w:val="6B8A6F9A"/>
    <w:rsid w:val="6BF60782"/>
    <w:rsid w:val="6CCE3212"/>
    <w:rsid w:val="6E2849E5"/>
    <w:rsid w:val="70707524"/>
    <w:rsid w:val="73F40F01"/>
    <w:rsid w:val="74E409CF"/>
    <w:rsid w:val="75FD0ED6"/>
    <w:rsid w:val="760C5093"/>
    <w:rsid w:val="78FF30AC"/>
    <w:rsid w:val="797D342B"/>
    <w:rsid w:val="798E2B4F"/>
    <w:rsid w:val="7B5216F4"/>
    <w:rsid w:val="7C1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ascii="宋体" w:hAnsi="宋体"/>
      <w:kern w:val="2"/>
      <w:sz w:val="18"/>
      <w:szCs w:val="18"/>
    </w:rPr>
  </w:style>
  <w:style w:type="character" w:customStyle="1" w:styleId="12">
    <w:name w:val="批注框文本 字符"/>
    <w:basedOn w:val="9"/>
    <w:link w:val="5"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410</Words>
  <Characters>2342</Characters>
  <Lines>19</Lines>
  <Paragraphs>5</Paragraphs>
  <TotalTime>35</TotalTime>
  <ScaleCrop>false</ScaleCrop>
  <LinksUpToDate>false</LinksUpToDate>
  <CharactersWithSpaces>2747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2022-12-28T06:57:00Z</dcterms:created>
  <dc:creator>guohuan</dc:creator>
  <cp:lastModifiedBy>DELL</cp:lastModifiedBy>
  <dcterms:modified xsi:type="dcterms:W3CDTF">2025-10-24T07:02:12Z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CCD72DB0E0F647B29C4FC71C498BB7DB</vt:lpwstr>
  </property>
</Properties>
</file>