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before="312" w:after="156" w:line="360" w:lineRule="auto"/>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肿瘤医院202</w:t>
      </w:r>
      <w:r>
        <w:rPr>
          <w:rFonts w:hint="eastAsia" w:ascii="方正小标宋简体" w:hAnsi="方正小标宋简体" w:eastAsia="方正小标宋简体" w:cs="方正小标宋简体"/>
          <w:sz w:val="32"/>
          <w:szCs w:val="32"/>
          <w:lang w:val="en-US" w:eastAsia="zh-CN"/>
        </w:rPr>
        <w:t>5</w:t>
      </w:r>
      <w:r>
        <w:rPr>
          <w:rFonts w:hint="eastAsia" w:ascii="方正小标宋简体" w:hAnsi="方正小标宋简体" w:eastAsia="方正小标宋简体" w:cs="方正小标宋简体"/>
          <w:sz w:val="32"/>
          <w:szCs w:val="32"/>
        </w:rPr>
        <w:t>-202</w:t>
      </w:r>
      <w:r>
        <w:rPr>
          <w:rFonts w:hint="eastAsia" w:ascii="方正小标宋简体" w:hAnsi="方正小标宋简体" w:eastAsia="方正小标宋简体" w:cs="方正小标宋简体"/>
          <w:sz w:val="32"/>
          <w:szCs w:val="32"/>
          <w:lang w:val="en-US" w:eastAsia="zh-CN"/>
        </w:rPr>
        <w:t>6</w:t>
      </w:r>
      <w:r>
        <w:rPr>
          <w:rFonts w:hint="eastAsia" w:ascii="方正小标宋简体" w:hAnsi="方正小标宋简体" w:eastAsia="方正小标宋简体" w:cs="方正小标宋简体"/>
          <w:sz w:val="32"/>
          <w:szCs w:val="32"/>
        </w:rPr>
        <w:t>学年研究生国家奖学金评审方案</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根据《北京大学国家奖学金管理暂行办法》和《北京大学医学部关于202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学年国家奖学金评审工作安排的通知》的相关规定，结合实际，制定我院具体评审方案如下：</w:t>
      </w:r>
    </w:p>
    <w:p>
      <w:pPr>
        <w:pStyle w:val="2"/>
        <w:keepNext w:val="0"/>
        <w:keepLines w:val="0"/>
        <w:pageBreakBefore w:val="0"/>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一、奖励标准</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研究生国家奖学金由中央财政出资设立，用于奖励普通高等学校中表现优异的全日制研究生，每学年评审一次。博士研究生每生3万元，硕士研究生每生2万元。如遇金额变动，以最新政策为准。</w:t>
      </w:r>
    </w:p>
    <w:p>
      <w:pPr>
        <w:pStyle w:val="2"/>
        <w:keepNext w:val="0"/>
        <w:keepLines w:val="0"/>
        <w:pageBreakBefore w:val="0"/>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二、参评范围</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凡具有中华人民共和国国籍且在医学部正式注册的全日制（全脱产学习）硕士研究生、博士研究生可申请。</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超出学制期限基本修业年限的学生原则上不得申请，因联合培养而超出学制年限的八年制学生不受此限制，如因未完成重大研究成果而延毕且在学制内没有获得过国奖的学生不受此限制。</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硕博连读研究生在注册为博士研究生之前，或通过攻读博士学位资格考试前，按照硕士研究生身份申请；注册为博士研究生后，或已经通过攻读博士学位资格考试后，按照博士研究生身份申请。</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直博生和招生简章中注明不授予中间学位的硕博连读学生，按照博士研究生身份申请。</w:t>
      </w:r>
    </w:p>
    <w:p>
      <w:pPr>
        <w:pStyle w:val="2"/>
        <w:keepNext w:val="0"/>
        <w:keepLines w:val="0"/>
        <w:pageBreakBefore w:val="0"/>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三、申请条件</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热爱社会主义祖国，拥护中国共产党的领导；</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遵守宪法和法律，遵守学校规章制度；</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诚实守信，道德品质优良；</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学习、科研成绩优异，社会实践、创新能力和发展潜力突出</w:t>
      </w:r>
      <w:r>
        <w:rPr>
          <w:rFonts w:hint="eastAsia" w:ascii="仿宋_GB2312" w:hAnsi="仿宋_GB2312" w:eastAsia="仿宋_GB2312" w:cs="仿宋_GB2312"/>
          <w:sz w:val="24"/>
          <w:szCs w:val="24"/>
          <w:lang w:eastAsia="zh-CN"/>
        </w:rPr>
        <w:t>；</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2025-2026</w:t>
      </w:r>
      <w:r>
        <w:rPr>
          <w:rFonts w:hint="eastAsia" w:ascii="仿宋_GB2312" w:hAnsi="仿宋_GB2312" w:eastAsia="仿宋_GB2312" w:cs="仿宋_GB2312"/>
          <w:sz w:val="24"/>
          <w:szCs w:val="24"/>
        </w:rPr>
        <w:t>学年素质综合测评结果须为优秀或合格；</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2025-2026</w:t>
      </w:r>
      <w:r>
        <w:rPr>
          <w:rFonts w:hint="eastAsia" w:ascii="仿宋_GB2312" w:hAnsi="仿宋_GB2312" w:eastAsia="仿宋_GB2312" w:cs="仿宋_GB2312"/>
          <w:sz w:val="24"/>
          <w:szCs w:val="24"/>
        </w:rPr>
        <w:t>学年须获得个人年度奖励；</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申请国家奖学金的一年级研究生，招生考试成绩、考核评价情况及前置学位学习成绩应突出。</w:t>
      </w:r>
    </w:p>
    <w:p>
      <w:pPr>
        <w:pStyle w:val="2"/>
        <w:keepNext w:val="0"/>
        <w:keepLines w:val="0"/>
        <w:pageBreakBefore w:val="0"/>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四、评审办法</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严格按照《北京大学学生奖学金评审条例》、《北京大学国家奖学金评审办法》(附件1)的要求进行评审。</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坚持德、智、体全面发展的标准，对申请的学生在综合素质测评的基础上进行考查。</w:t>
      </w:r>
      <w:r>
        <w:rPr>
          <w:rFonts w:hint="eastAsia" w:ascii="仿宋_GB2312" w:hAnsi="仿宋_GB2312" w:eastAsia="仿宋_GB2312" w:cs="仿宋_GB2312"/>
          <w:b/>
          <w:bCs/>
          <w:color w:val="FF0000"/>
          <w:sz w:val="24"/>
          <w:szCs w:val="24"/>
        </w:rPr>
        <w:t>提名获得校级以上奖学金的，原则上须首先获得今年的校级奖励。</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color w:val="FF0000"/>
          <w:sz w:val="24"/>
          <w:szCs w:val="24"/>
        </w:rPr>
      </w:pPr>
      <w:r>
        <w:rPr>
          <w:rFonts w:hint="eastAsia" w:ascii="仿宋_GB2312" w:hAnsi="仿宋_GB2312" w:eastAsia="仿宋_GB2312" w:cs="仿宋_GB2312"/>
          <w:sz w:val="24"/>
          <w:szCs w:val="24"/>
        </w:rPr>
        <w:t>同一学年国家奖学金与其他基于素质综合测评评审的校级或医学部级奖学金不可兼得。科研型博士可同时参加</w:t>
      </w:r>
      <w:r>
        <w:rPr>
          <w:rFonts w:hint="eastAsia" w:ascii="仿宋_GB2312" w:hAnsi="仿宋_GB2312" w:eastAsia="仿宋_GB2312" w:cs="仿宋_GB2312"/>
          <w:sz w:val="24"/>
          <w:szCs w:val="24"/>
          <w:lang w:val="en-US" w:eastAsia="zh-CN"/>
        </w:rPr>
        <w:t>校长</w:t>
      </w:r>
      <w:r>
        <w:rPr>
          <w:rFonts w:hint="eastAsia" w:ascii="仿宋_GB2312" w:hAnsi="仿宋_GB2312" w:eastAsia="仿宋_GB2312" w:cs="仿宋_GB2312"/>
          <w:sz w:val="24"/>
          <w:szCs w:val="24"/>
        </w:rPr>
        <w:t>奖学金和国家奖学金答辩，根据最终排名结果在两种奖项中择其一，两种奖项不可兼得。</w:t>
      </w:r>
    </w:p>
    <w:p>
      <w:pPr>
        <w:keepNext w:val="0"/>
        <w:keepLines w:val="0"/>
        <w:pageBreakBefore w:val="0"/>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五、名额分配</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根据202</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学年医学部研究生国家奖学金名额分配方案，我院名额分配如下：</w:t>
      </w:r>
    </w:p>
    <w:tbl>
      <w:tblPr>
        <w:tblStyle w:val="16"/>
        <w:tblW w:w="8505" w:type="dxa"/>
        <w:jc w:val="center"/>
        <w:tblLayout w:type="fixed"/>
        <w:tblCellMar>
          <w:top w:w="0" w:type="dxa"/>
          <w:left w:w="108" w:type="dxa"/>
          <w:bottom w:w="0" w:type="dxa"/>
          <w:right w:w="108" w:type="dxa"/>
        </w:tblCellMar>
      </w:tblPr>
      <w:tblGrid>
        <w:gridCol w:w="1701"/>
        <w:gridCol w:w="1701"/>
        <w:gridCol w:w="1701"/>
        <w:gridCol w:w="1701"/>
        <w:gridCol w:w="1701"/>
      </w:tblGrid>
      <w:tr>
        <w:tblPrEx>
          <w:tblCellMar>
            <w:top w:w="0" w:type="dxa"/>
            <w:left w:w="108" w:type="dxa"/>
            <w:bottom w:w="0" w:type="dxa"/>
            <w:right w:w="108" w:type="dxa"/>
          </w:tblCellMar>
        </w:tblPrEx>
        <w:trPr>
          <w:trHeight w:val="219" w:hRule="atLeast"/>
          <w:jc w:val="center"/>
        </w:trPr>
        <w:tc>
          <w:tcPr>
            <w:tcW w:w="3402" w:type="dxa"/>
            <w:gridSpan w:val="2"/>
            <w:tcBorders>
              <w:top w:val="single" w:color="auto" w:sz="8"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硕士</w:t>
            </w:r>
          </w:p>
        </w:tc>
        <w:tc>
          <w:tcPr>
            <w:tcW w:w="5103" w:type="dxa"/>
            <w:gridSpan w:val="3"/>
            <w:tcBorders>
              <w:top w:val="single" w:color="auto" w:sz="8" w:space="0"/>
              <w:left w:val="nil"/>
              <w:bottom w:val="single" w:color="auto"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博士</w:t>
            </w:r>
          </w:p>
        </w:tc>
      </w:tr>
      <w:tr>
        <w:tblPrEx>
          <w:tblCellMar>
            <w:top w:w="0" w:type="dxa"/>
            <w:left w:w="108" w:type="dxa"/>
            <w:bottom w:w="0" w:type="dxa"/>
            <w:right w:w="108" w:type="dxa"/>
          </w:tblCellMar>
        </w:tblPrEx>
        <w:trPr>
          <w:trHeight w:val="179" w:hRule="atLeast"/>
          <w:jc w:val="center"/>
        </w:trPr>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科研型</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专业型</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科研型</w:t>
            </w:r>
          </w:p>
        </w:tc>
        <w:tc>
          <w:tcPr>
            <w:tcW w:w="1701"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专业型</w:t>
            </w:r>
          </w:p>
        </w:tc>
        <w:tc>
          <w:tcPr>
            <w:tcW w:w="1701" w:type="dxa"/>
            <w:tcBorders>
              <w:top w:val="nil"/>
              <w:left w:val="nil"/>
              <w:bottom w:val="single" w:color="auto"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临床八年制</w:t>
            </w:r>
          </w:p>
        </w:tc>
      </w:tr>
      <w:tr>
        <w:tblPrEx>
          <w:tblCellMar>
            <w:top w:w="0" w:type="dxa"/>
            <w:left w:w="108" w:type="dxa"/>
            <w:bottom w:w="0" w:type="dxa"/>
            <w:right w:w="108" w:type="dxa"/>
          </w:tblCellMar>
        </w:tblPrEx>
        <w:trPr>
          <w:trHeight w:val="330" w:hRule="atLeast"/>
          <w:jc w:val="center"/>
        </w:trPr>
        <w:tc>
          <w:tcPr>
            <w:tcW w:w="170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1</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5</w:t>
            </w:r>
          </w:p>
        </w:tc>
        <w:tc>
          <w:tcPr>
            <w:tcW w:w="1701" w:type="dxa"/>
            <w:tcBorders>
              <w:top w:val="nil"/>
              <w:left w:val="nil"/>
              <w:bottom w:val="single" w:color="auto" w:sz="4"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1701" w:type="dxa"/>
            <w:tcBorders>
              <w:top w:val="nil"/>
              <w:left w:val="nil"/>
              <w:bottom w:val="single" w:color="auto" w:sz="4"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w:t>
            </w:r>
          </w:p>
        </w:tc>
      </w:tr>
    </w:tbl>
    <w:p>
      <w:pPr>
        <w:pStyle w:val="2"/>
        <w:keepNext w:val="0"/>
        <w:keepLines w:val="0"/>
        <w:pageBreakBefore w:val="0"/>
        <w:numPr>
          <w:numId w:val="0"/>
        </w:numPr>
        <w:kinsoku/>
        <w:wordWrap/>
        <w:overflowPunct/>
        <w:topLinePunct w:val="0"/>
        <w:autoSpaceDE/>
        <w:autoSpaceDN/>
        <w:bidi w:val="0"/>
        <w:adjustRightInd/>
        <w:snapToGrid/>
        <w:spacing w:line="360" w:lineRule="auto"/>
        <w:ind w:leftChars="200"/>
        <w:textAlignment w:val="auto"/>
        <w:rPr>
          <w:rFonts w:hint="default" w:ascii="仿宋_GB2312" w:hAnsi="仿宋_GB2312" w:eastAsia="仿宋_GB2312" w:cs="仿宋_GB2312"/>
          <w:b w:val="0"/>
          <w:bCs/>
          <w:sz w:val="21"/>
          <w:szCs w:val="21"/>
          <w:lang w:val="en-US" w:eastAsia="zh-CN"/>
        </w:rPr>
      </w:pPr>
      <w:r>
        <w:rPr>
          <w:rFonts w:hint="eastAsia" w:ascii="仿宋_GB2312" w:hAnsi="仿宋_GB2312" w:eastAsia="仿宋_GB2312" w:cs="仿宋_GB2312"/>
          <w:b w:val="0"/>
          <w:bCs/>
          <w:sz w:val="21"/>
          <w:szCs w:val="21"/>
          <w:lang w:val="en-US" w:eastAsia="zh-CN"/>
        </w:rPr>
        <w:t>注：八年制未分得单独名额，由我院推荐0-1名学生在北医进行统一答辩。</w:t>
      </w:r>
      <w:bookmarkStart w:id="0" w:name="_GoBack"/>
      <w:bookmarkEnd w:id="0"/>
    </w:p>
    <w:p>
      <w:pPr>
        <w:pStyle w:val="2"/>
        <w:keepNext w:val="0"/>
        <w:keepLines w:val="0"/>
        <w:pageBreakBefore w:val="0"/>
        <w:numPr>
          <w:ilvl w:val="0"/>
          <w:numId w:val="4"/>
        </w:numPr>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评审办法</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根据学生素质综合测评排名，在符合参评范围的同学中按照分配名额的1:1.5划定参加现场答辩范围。学生素质综合测评得分（满分100分）*0.6与现场答辩得分（满分40分）相加为最后总得分。</w:t>
      </w:r>
    </w:p>
    <w:p>
      <w:pPr>
        <w:pStyle w:val="2"/>
        <w:keepNext w:val="0"/>
        <w:keepLines w:val="0"/>
        <w:pageBreakBefore w:val="0"/>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七、评审程序及时间安排</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 初审：评审答辩初定</w:t>
      </w:r>
      <w:r>
        <w:rPr>
          <w:rFonts w:hint="eastAsia" w:ascii="仿宋_GB2312" w:hAnsi="仿宋_GB2312" w:eastAsia="仿宋_GB2312" w:cs="仿宋_GB2312"/>
          <w:sz w:val="24"/>
          <w:szCs w:val="24"/>
          <w:highlight w:val="none"/>
        </w:rPr>
        <w:t>9月2</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日1</w:t>
      </w: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0</w:t>
      </w:r>
      <w:r>
        <w:rPr>
          <w:rFonts w:hint="eastAsia" w:ascii="仿宋_GB2312" w:hAnsi="仿宋_GB2312" w:eastAsia="仿宋_GB2312" w:cs="仿宋_GB2312"/>
          <w:sz w:val="24"/>
          <w:szCs w:val="24"/>
          <w:highlight w:val="none"/>
        </w:rPr>
        <w:t>0</w:t>
      </w:r>
      <w:r>
        <w:rPr>
          <w:rFonts w:hint="eastAsia" w:ascii="仿宋_GB2312" w:hAnsi="仿宋_GB2312" w:eastAsia="仿宋_GB2312" w:cs="仿宋_GB2312"/>
          <w:sz w:val="24"/>
          <w:szCs w:val="24"/>
        </w:rPr>
        <w:t>，地点为</w:t>
      </w:r>
      <w:r>
        <w:rPr>
          <w:rFonts w:hint="eastAsia" w:ascii="仿宋_GB2312" w:hAnsi="仿宋_GB2312" w:eastAsia="仿宋_GB2312" w:cs="仿宋_GB2312"/>
          <w:sz w:val="24"/>
          <w:szCs w:val="24"/>
          <w:lang w:val="en-US" w:eastAsia="zh-CN"/>
        </w:rPr>
        <w:t>科研楼七层会议室</w:t>
      </w:r>
      <w:r>
        <w:rPr>
          <w:rFonts w:hint="eastAsia" w:ascii="仿宋_GB2312" w:hAnsi="仿宋_GB2312" w:eastAsia="仿宋_GB2312" w:cs="仿宋_GB2312"/>
          <w:sz w:val="24"/>
          <w:szCs w:val="24"/>
        </w:rPr>
        <w:t>，如遇时间地点变更则另行通知。由候选者本人进行三分钟的自行答辩，评审小组对候选人进行评选审核并确定初评结果。</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公示：教育处将对初评结果进行公示。</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终审：医学部学生工作部进行材料汇总、审核，报医学部国家奖学金评审委员会审定初评结果，在医学部范围内进行为期5个工作日的公示。</w:t>
      </w:r>
      <w:r>
        <w:rPr>
          <w:rFonts w:hint="eastAsia" w:ascii="仿宋_GB2312" w:hAnsi="仿宋_GB2312" w:eastAsia="仿宋_GB2312" w:cs="仿宋_GB2312"/>
          <w:color w:val="000000"/>
          <w:sz w:val="24"/>
          <w:szCs w:val="24"/>
        </w:rPr>
        <w:t>医学部学工部将相关材料报送至大学学工部。北京大学国家奖学金评审委员会审定初评结果，并在全校范围内进行为期5个工作日的公示</w:t>
      </w:r>
      <w:r>
        <w:rPr>
          <w:rFonts w:hint="eastAsia" w:ascii="仿宋_GB2312" w:hAnsi="仿宋_GB2312" w:eastAsia="仿宋_GB2312" w:cs="仿宋_GB2312"/>
          <w:b/>
          <w:color w:val="000000"/>
          <w:sz w:val="24"/>
          <w:szCs w:val="24"/>
        </w:rPr>
        <w:t>。</w:t>
      </w:r>
      <w:r>
        <w:rPr>
          <w:rFonts w:hint="eastAsia" w:ascii="仿宋_GB2312" w:hAnsi="仿宋_GB2312" w:eastAsia="仿宋_GB2312" w:cs="仿宋_GB2312"/>
          <w:color w:val="000000"/>
          <w:sz w:val="24"/>
          <w:szCs w:val="24"/>
        </w:rPr>
        <w:t>公示无异议后，相关材料提交教育部。</w:t>
      </w:r>
    </w:p>
    <w:p>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Cs/>
          <w:color w:val="000000"/>
          <w:sz w:val="24"/>
          <w:szCs w:val="24"/>
        </w:rPr>
        <w:t>4</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lang w:val="en-US" w:eastAsia="zh-CN"/>
        </w:rPr>
        <w:t xml:space="preserve"> </w:t>
      </w:r>
      <w:r>
        <w:rPr>
          <w:rFonts w:hint="eastAsia" w:ascii="仿宋_GB2312" w:hAnsi="仿宋_GB2312" w:eastAsia="仿宋_GB2312" w:cs="仿宋_GB2312"/>
          <w:bCs/>
          <w:color w:val="000000"/>
          <w:sz w:val="24"/>
          <w:szCs w:val="24"/>
        </w:rPr>
        <w:t>为发挥奖学金评选工作的榜样示范效应，将对国家奖学金中获奖的优秀典型进行发现和宣传，展现出“青年榜样”的精神面貌。我院可推荐</w:t>
      </w:r>
      <w:r>
        <w:rPr>
          <w:rFonts w:hint="eastAsia" w:ascii="仿宋_GB2312" w:hAnsi="仿宋_GB2312" w:eastAsia="仿宋_GB2312" w:cs="仿宋_GB2312"/>
          <w:bCs/>
          <w:color w:val="000000"/>
          <w:sz w:val="24"/>
          <w:szCs w:val="24"/>
          <w:lang w:val="en-US" w:eastAsia="zh-CN"/>
        </w:rPr>
        <w:t>0</w:t>
      </w:r>
      <w:r>
        <w:rPr>
          <w:rFonts w:hint="eastAsia" w:ascii="仿宋_GB2312" w:hAnsi="仿宋_GB2312" w:eastAsia="仿宋_GB2312" w:cs="仿宋_GB2312"/>
          <w:bCs/>
          <w:color w:val="000000"/>
          <w:sz w:val="24"/>
          <w:szCs w:val="24"/>
        </w:rPr>
        <w:t>-2名优秀学生，后续医学部和学校均将开展国家奖学金获奖典型学生的宣传报道。</w:t>
      </w:r>
    </w:p>
    <w:p>
      <w:pPr>
        <w:pStyle w:val="2"/>
        <w:keepNext w:val="0"/>
        <w:keepLines w:val="0"/>
        <w:pageBreakBefore w:val="0"/>
        <w:kinsoku/>
        <w:wordWrap/>
        <w:overflowPunct/>
        <w:topLinePunct w:val="0"/>
        <w:autoSpaceDE/>
        <w:autoSpaceDN/>
        <w:bidi w:val="0"/>
        <w:adjustRightInd/>
        <w:snapToGrid/>
        <w:spacing w:line="360" w:lineRule="auto"/>
        <w:ind w:left="0"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八、个人申诉</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研究生个人对研究生国家奖学金初审结果有异议者，可在公示期内向评审委员会提出申诉。</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r>
        <w:rPr>
          <w:rFonts w:hint="eastAsia" w:ascii="仿宋_GB2312" w:hAnsi="仿宋_GB2312" w:eastAsia="仿宋_GB2312" w:cs="仿宋_GB2312"/>
          <w:sz w:val="24"/>
          <w:szCs w:val="24"/>
          <w:lang w:val="en-US" w:eastAsia="zh-CN"/>
        </w:rPr>
        <w:t>赵</w:t>
      </w:r>
      <w:r>
        <w:rPr>
          <w:rFonts w:hint="eastAsia" w:ascii="仿宋_GB2312" w:hAnsi="仿宋_GB2312" w:eastAsia="仿宋_GB2312" w:cs="仿宋_GB2312"/>
          <w:sz w:val="24"/>
          <w:szCs w:val="24"/>
        </w:rPr>
        <w:t>老师</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电话：8819</w:t>
      </w:r>
      <w:r>
        <w:rPr>
          <w:rFonts w:hint="eastAsia" w:ascii="仿宋_GB2312" w:hAnsi="仿宋_GB2312" w:eastAsia="仿宋_GB2312" w:cs="仿宋_GB2312"/>
          <w:sz w:val="24"/>
          <w:szCs w:val="24"/>
          <w:lang w:val="en-US" w:eastAsia="zh-CN"/>
        </w:rPr>
        <w:t>6837</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肿瘤医院研究生国家奖学金评审小组</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202</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年9月1</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日</w:t>
      </w:r>
    </w:p>
    <w:p>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仿宋_GB2312" w:hAnsi="仿宋_GB2312" w:eastAsia="仿宋_GB2312" w:cs="仿宋_GB2312"/>
          <w:sz w:val="24"/>
          <w:szCs w:val="24"/>
        </w:rPr>
      </w:pP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附件1 北京大学国家奖学金评审办法</w:t>
      </w:r>
    </w:p>
    <w:p>
      <w:pPr>
        <w:pStyle w:val="2"/>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仿宋_GB2312" w:hAnsi="仿宋_GB2312" w:eastAsia="仿宋_GB2312" w:cs="仿宋_GB2312"/>
          <w:sz w:val="24"/>
          <w:szCs w:val="24"/>
        </w:rPr>
      </w:pPr>
    </w:p>
    <w:p>
      <w:pPr>
        <w:pStyle w:val="2"/>
        <w:ind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7E9B"/>
    <w:multiLevelType w:val="multilevel"/>
    <w:tmpl w:val="05F47E9B"/>
    <w:lvl w:ilvl="0" w:tentative="0">
      <w:start w:val="1"/>
      <w:numFmt w:val="chineseCountingThousand"/>
      <w:suff w:val="nothing"/>
      <w:lvlText w:val="%1、"/>
      <w:lvlJc w:val="left"/>
      <w:pPr>
        <w:ind w:left="0" w:firstLine="0"/>
      </w:pPr>
      <w:rPr>
        <w:rFonts w:hint="eastAsia"/>
      </w:rPr>
    </w:lvl>
    <w:lvl w:ilvl="1" w:tentative="0">
      <w:start w:val="1"/>
      <w:numFmt w:val="chineseCountingThousand"/>
      <w:suff w:val="nothing"/>
      <w:lvlText w:val="（%2）"/>
      <w:lvlJc w:val="left"/>
      <w:pPr>
        <w:ind w:left="0" w:firstLine="0"/>
      </w:pPr>
      <w:rPr>
        <w:rFonts w:hint="eastAsia"/>
      </w:rPr>
    </w:lvl>
    <w:lvl w:ilvl="2" w:tentative="0">
      <w:start w:val="1"/>
      <w:numFmt w:val="decimal"/>
      <w:suff w:val="space"/>
      <w:lvlText w:val="%3."/>
      <w:lvlJc w:val="left"/>
      <w:pPr>
        <w:ind w:left="0" w:firstLine="0"/>
      </w:pPr>
      <w:rPr>
        <w:rFonts w:hint="eastAsia"/>
      </w:rPr>
    </w:lvl>
    <w:lvl w:ilvl="3" w:tentative="0">
      <w:start w:val="1"/>
      <w:numFmt w:val="decimal"/>
      <w:pStyle w:val="6"/>
      <w:suff w:val="nothing"/>
      <w:lvlText w:val="（%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1F8A235A"/>
    <w:multiLevelType w:val="multilevel"/>
    <w:tmpl w:val="1F8A235A"/>
    <w:lvl w:ilvl="0" w:tentative="0">
      <w:start w:val="1"/>
      <w:numFmt w:val="chineseCountingThousand"/>
      <w:pStyle w:val="3"/>
      <w:suff w:val="nothing"/>
      <w:lvlText w:val="%1、"/>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2288DF46"/>
    <w:multiLevelType w:val="singleLevel"/>
    <w:tmpl w:val="2288DF46"/>
    <w:lvl w:ilvl="0" w:tentative="0">
      <w:start w:val="6"/>
      <w:numFmt w:val="chineseCounting"/>
      <w:suff w:val="nothing"/>
      <w:lvlText w:val="%1、"/>
      <w:lvlJc w:val="left"/>
      <w:rPr>
        <w:rFonts w:hint="eastAsia"/>
      </w:rPr>
    </w:lvl>
  </w:abstractNum>
  <w:abstractNum w:abstractNumId="3">
    <w:nsid w:val="32297CC5"/>
    <w:multiLevelType w:val="multilevel"/>
    <w:tmpl w:val="32297CC5"/>
    <w:lvl w:ilvl="0" w:tentative="0">
      <w:start w:val="1"/>
      <w:numFmt w:val="chineseCountingThousand"/>
      <w:suff w:val="nothing"/>
      <w:lvlText w:val="%1、"/>
      <w:lvlJc w:val="left"/>
      <w:pPr>
        <w:ind w:left="0" w:firstLine="0"/>
      </w:pPr>
      <w:rPr>
        <w:rFonts w:hint="eastAsia"/>
      </w:rPr>
    </w:lvl>
    <w:lvl w:ilvl="1" w:tentative="0">
      <w:start w:val="1"/>
      <w:numFmt w:val="chineseCountingThousand"/>
      <w:pStyle w:val="4"/>
      <w:suff w:val="nothing"/>
      <w:lvlText w:val="（%2）"/>
      <w:lvlJc w:val="left"/>
      <w:pPr>
        <w:ind w:left="0" w:firstLine="0"/>
      </w:pPr>
      <w:rPr>
        <w:rFonts w:hint="eastAsia"/>
      </w:rPr>
    </w:lvl>
    <w:lvl w:ilvl="2" w:tentative="0">
      <w:start w:val="1"/>
      <w:numFmt w:val="decimal"/>
      <w:pStyle w:val="5"/>
      <w:suff w:val="space"/>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052"/>
    <w:rsid w:val="000061EC"/>
    <w:rsid w:val="000131E1"/>
    <w:rsid w:val="000409A3"/>
    <w:rsid w:val="00060FA8"/>
    <w:rsid w:val="00060FA9"/>
    <w:rsid w:val="000B684D"/>
    <w:rsid w:val="000D0B13"/>
    <w:rsid w:val="000E34DB"/>
    <w:rsid w:val="000F7602"/>
    <w:rsid w:val="00110C4B"/>
    <w:rsid w:val="00134E8F"/>
    <w:rsid w:val="00162F59"/>
    <w:rsid w:val="00187ACC"/>
    <w:rsid w:val="00206D04"/>
    <w:rsid w:val="002620E7"/>
    <w:rsid w:val="00273343"/>
    <w:rsid w:val="00285A56"/>
    <w:rsid w:val="002B47C3"/>
    <w:rsid w:val="002C782B"/>
    <w:rsid w:val="002E002A"/>
    <w:rsid w:val="00350F8F"/>
    <w:rsid w:val="003557DF"/>
    <w:rsid w:val="0037689B"/>
    <w:rsid w:val="00377AE4"/>
    <w:rsid w:val="003954A6"/>
    <w:rsid w:val="003C32D3"/>
    <w:rsid w:val="00425403"/>
    <w:rsid w:val="00490C52"/>
    <w:rsid w:val="004C36B1"/>
    <w:rsid w:val="005116B2"/>
    <w:rsid w:val="0051597D"/>
    <w:rsid w:val="005306B7"/>
    <w:rsid w:val="005A38E1"/>
    <w:rsid w:val="005A6BAF"/>
    <w:rsid w:val="005C1451"/>
    <w:rsid w:val="005D62EA"/>
    <w:rsid w:val="0060412D"/>
    <w:rsid w:val="00642E9F"/>
    <w:rsid w:val="00661CF3"/>
    <w:rsid w:val="00682069"/>
    <w:rsid w:val="00682891"/>
    <w:rsid w:val="006A2B91"/>
    <w:rsid w:val="006D292D"/>
    <w:rsid w:val="006D5680"/>
    <w:rsid w:val="006D7A1B"/>
    <w:rsid w:val="006F7DC9"/>
    <w:rsid w:val="0074035E"/>
    <w:rsid w:val="0074121F"/>
    <w:rsid w:val="00750ECD"/>
    <w:rsid w:val="00757052"/>
    <w:rsid w:val="007629CE"/>
    <w:rsid w:val="007703F7"/>
    <w:rsid w:val="00770AAC"/>
    <w:rsid w:val="00772E06"/>
    <w:rsid w:val="00780A89"/>
    <w:rsid w:val="007E0F30"/>
    <w:rsid w:val="00831F3C"/>
    <w:rsid w:val="008543F3"/>
    <w:rsid w:val="008613B7"/>
    <w:rsid w:val="008747C6"/>
    <w:rsid w:val="00907074"/>
    <w:rsid w:val="009301C7"/>
    <w:rsid w:val="00976325"/>
    <w:rsid w:val="00996DDA"/>
    <w:rsid w:val="009A310D"/>
    <w:rsid w:val="009E64B3"/>
    <w:rsid w:val="009F2BD9"/>
    <w:rsid w:val="00A00FA3"/>
    <w:rsid w:val="00A11FC9"/>
    <w:rsid w:val="00A331B2"/>
    <w:rsid w:val="00A46202"/>
    <w:rsid w:val="00A547F3"/>
    <w:rsid w:val="00A60124"/>
    <w:rsid w:val="00A71CF0"/>
    <w:rsid w:val="00A7496C"/>
    <w:rsid w:val="00B127E7"/>
    <w:rsid w:val="00B220AC"/>
    <w:rsid w:val="00B4652A"/>
    <w:rsid w:val="00B5741A"/>
    <w:rsid w:val="00BC40F9"/>
    <w:rsid w:val="00BD5982"/>
    <w:rsid w:val="00C52C7B"/>
    <w:rsid w:val="00C903A1"/>
    <w:rsid w:val="00CC4E3B"/>
    <w:rsid w:val="00CD0640"/>
    <w:rsid w:val="00CE580C"/>
    <w:rsid w:val="00D27337"/>
    <w:rsid w:val="00D4482F"/>
    <w:rsid w:val="00D65101"/>
    <w:rsid w:val="00D97D9B"/>
    <w:rsid w:val="00DA0732"/>
    <w:rsid w:val="00DA79A4"/>
    <w:rsid w:val="00DD313E"/>
    <w:rsid w:val="00DE79A7"/>
    <w:rsid w:val="00E30D5B"/>
    <w:rsid w:val="00E44EB7"/>
    <w:rsid w:val="00EA3A7D"/>
    <w:rsid w:val="00EF689C"/>
    <w:rsid w:val="00F421CB"/>
    <w:rsid w:val="00F43424"/>
    <w:rsid w:val="00F662A7"/>
    <w:rsid w:val="00F77EC1"/>
    <w:rsid w:val="00F80202"/>
    <w:rsid w:val="00FA6E49"/>
    <w:rsid w:val="00FB0E9E"/>
    <w:rsid w:val="00FB655B"/>
    <w:rsid w:val="00FD0208"/>
    <w:rsid w:val="00FE78D7"/>
    <w:rsid w:val="012F2B5C"/>
    <w:rsid w:val="02932E83"/>
    <w:rsid w:val="045F713F"/>
    <w:rsid w:val="05164EC4"/>
    <w:rsid w:val="0F44193B"/>
    <w:rsid w:val="101454B5"/>
    <w:rsid w:val="11092503"/>
    <w:rsid w:val="114C2348"/>
    <w:rsid w:val="11C34B28"/>
    <w:rsid w:val="1226639F"/>
    <w:rsid w:val="12EE4EFF"/>
    <w:rsid w:val="13C41902"/>
    <w:rsid w:val="13FB3B14"/>
    <w:rsid w:val="15BE4A78"/>
    <w:rsid w:val="15BF06BF"/>
    <w:rsid w:val="1B341602"/>
    <w:rsid w:val="2006448C"/>
    <w:rsid w:val="209808B1"/>
    <w:rsid w:val="2100365D"/>
    <w:rsid w:val="23AD2A51"/>
    <w:rsid w:val="2458487F"/>
    <w:rsid w:val="27B23A4F"/>
    <w:rsid w:val="2A395F33"/>
    <w:rsid w:val="31D73DBD"/>
    <w:rsid w:val="32DE7224"/>
    <w:rsid w:val="3C27335D"/>
    <w:rsid w:val="3F194854"/>
    <w:rsid w:val="424E59F6"/>
    <w:rsid w:val="44E37267"/>
    <w:rsid w:val="454E5E9F"/>
    <w:rsid w:val="457F326E"/>
    <w:rsid w:val="47A76359"/>
    <w:rsid w:val="49536EC8"/>
    <w:rsid w:val="4AEA36FF"/>
    <w:rsid w:val="5A925A32"/>
    <w:rsid w:val="5AB01747"/>
    <w:rsid w:val="5CDB33B2"/>
    <w:rsid w:val="5D14572E"/>
    <w:rsid w:val="5D4B1914"/>
    <w:rsid w:val="605C2225"/>
    <w:rsid w:val="60715565"/>
    <w:rsid w:val="651D5DDB"/>
    <w:rsid w:val="66486BBD"/>
    <w:rsid w:val="6AD902B9"/>
    <w:rsid w:val="6AEE7CC2"/>
    <w:rsid w:val="6DA905B9"/>
    <w:rsid w:val="719C2C9E"/>
    <w:rsid w:val="72097605"/>
    <w:rsid w:val="77D05CCA"/>
    <w:rsid w:val="79512744"/>
    <w:rsid w:val="7CEA1429"/>
    <w:rsid w:val="7F5D7C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Theme="minorEastAsia" w:cstheme="minorBidi"/>
      <w:kern w:val="2"/>
      <w:sz w:val="24"/>
      <w:szCs w:val="21"/>
      <w:lang w:val="en-US" w:eastAsia="zh-CN" w:bidi="ar-SA"/>
    </w:rPr>
  </w:style>
  <w:style w:type="paragraph" w:styleId="3">
    <w:name w:val="heading 1"/>
    <w:basedOn w:val="2"/>
    <w:next w:val="2"/>
    <w:link w:val="20"/>
    <w:qFormat/>
    <w:uiPriority w:val="9"/>
    <w:pPr>
      <w:keepNext/>
      <w:keepLines/>
      <w:numPr>
        <w:ilvl w:val="0"/>
        <w:numId w:val="1"/>
      </w:numPr>
      <w:spacing w:beforeLines="25" w:afterLines="50" w:line="240" w:lineRule="auto"/>
      <w:outlineLvl w:val="0"/>
    </w:pPr>
    <w:rPr>
      <w:b/>
      <w:bCs/>
      <w:kern w:val="44"/>
      <w:sz w:val="28"/>
      <w:szCs w:val="44"/>
    </w:rPr>
  </w:style>
  <w:style w:type="paragraph" w:styleId="4">
    <w:name w:val="heading 2"/>
    <w:basedOn w:val="2"/>
    <w:next w:val="2"/>
    <w:link w:val="21"/>
    <w:unhideWhenUsed/>
    <w:qFormat/>
    <w:uiPriority w:val="9"/>
    <w:pPr>
      <w:keepNext/>
      <w:keepLines/>
      <w:numPr>
        <w:ilvl w:val="1"/>
        <w:numId w:val="2"/>
      </w:numPr>
      <w:spacing w:line="240" w:lineRule="auto"/>
      <w:outlineLvl w:val="1"/>
    </w:pPr>
    <w:rPr>
      <w:rFonts w:eastAsia="宋体" w:cs="Times New Roman"/>
      <w:b/>
      <w:bCs/>
      <w:szCs w:val="32"/>
    </w:rPr>
  </w:style>
  <w:style w:type="paragraph" w:styleId="5">
    <w:name w:val="heading 3"/>
    <w:basedOn w:val="2"/>
    <w:next w:val="2"/>
    <w:link w:val="22"/>
    <w:qFormat/>
    <w:uiPriority w:val="9"/>
    <w:pPr>
      <w:keepNext/>
      <w:keepLines/>
      <w:numPr>
        <w:ilvl w:val="2"/>
        <w:numId w:val="2"/>
      </w:numPr>
      <w:spacing w:beforeLines="100" w:afterLines="50" w:line="240" w:lineRule="auto"/>
      <w:outlineLvl w:val="2"/>
    </w:pPr>
    <w:rPr>
      <w:bCs/>
      <w:szCs w:val="32"/>
    </w:rPr>
  </w:style>
  <w:style w:type="paragraph" w:styleId="6">
    <w:name w:val="heading 4"/>
    <w:basedOn w:val="2"/>
    <w:next w:val="2"/>
    <w:link w:val="23"/>
    <w:unhideWhenUsed/>
    <w:qFormat/>
    <w:uiPriority w:val="9"/>
    <w:pPr>
      <w:keepNext/>
      <w:keepLines/>
      <w:numPr>
        <w:ilvl w:val="3"/>
        <w:numId w:val="3"/>
      </w:numPr>
      <w:spacing w:before="280" w:after="290" w:line="376" w:lineRule="auto"/>
      <w:ind w:firstLine="480"/>
      <w:outlineLvl w:val="3"/>
    </w:pPr>
    <w:rPr>
      <w:rFonts w:asciiTheme="majorHAnsi" w:hAnsiTheme="majorHAnsi" w:eastAsiaTheme="majorEastAsia" w:cstheme="majorBidi"/>
      <w:bCs/>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7">
    <w:name w:val="annotation text"/>
    <w:basedOn w:val="1"/>
    <w:link w:val="31"/>
    <w:unhideWhenUsed/>
    <w:qFormat/>
    <w:uiPriority w:val="99"/>
    <w:pPr>
      <w:jc w:val="left"/>
    </w:pPr>
  </w:style>
  <w:style w:type="paragraph" w:styleId="8">
    <w:name w:val="Date"/>
    <w:basedOn w:val="1"/>
    <w:next w:val="1"/>
    <w:link w:val="29"/>
    <w:unhideWhenUsed/>
    <w:qFormat/>
    <w:uiPriority w:val="99"/>
    <w:pPr>
      <w:ind w:left="100" w:leftChars="2500"/>
    </w:pPr>
  </w:style>
  <w:style w:type="paragraph" w:styleId="9">
    <w:name w:val="Balloon Text"/>
    <w:basedOn w:val="1"/>
    <w:link w:val="30"/>
    <w:unhideWhenUsed/>
    <w:qFormat/>
    <w:uiPriority w:val="99"/>
    <w:pPr>
      <w:spacing w:line="240" w:lineRule="auto"/>
    </w:pPr>
    <w:rPr>
      <w:sz w:val="18"/>
      <w:szCs w:val="18"/>
    </w:rPr>
  </w:style>
  <w:style w:type="paragraph" w:styleId="10">
    <w:name w:val="footer"/>
    <w:basedOn w:val="1"/>
    <w:link w:val="28"/>
    <w:unhideWhenUsed/>
    <w:qFormat/>
    <w:uiPriority w:val="99"/>
    <w:pPr>
      <w:tabs>
        <w:tab w:val="center" w:pos="4153"/>
        <w:tab w:val="right" w:pos="8306"/>
      </w:tabs>
      <w:snapToGrid w:val="0"/>
      <w:spacing w:line="240" w:lineRule="auto"/>
      <w:jc w:val="left"/>
    </w:pPr>
    <w:rPr>
      <w:sz w:val="18"/>
      <w:szCs w:val="18"/>
    </w:rPr>
  </w:style>
  <w:style w:type="paragraph" w:styleId="11">
    <w:name w:val="header"/>
    <w:basedOn w:val="1"/>
    <w:link w:val="27"/>
    <w:qFormat/>
    <w:uiPriority w:val="0"/>
    <w:pPr>
      <w:pBdr>
        <w:bottom w:val="single" w:color="auto" w:sz="6" w:space="1"/>
      </w:pBdr>
      <w:tabs>
        <w:tab w:val="center" w:pos="4153"/>
        <w:tab w:val="right" w:pos="8306"/>
      </w:tabs>
      <w:snapToGrid w:val="0"/>
      <w:spacing w:line="240" w:lineRule="auto"/>
      <w:jc w:val="center"/>
    </w:pPr>
    <w:rPr>
      <w:rFonts w:eastAsia="宋体" w:cs="Times New Roman"/>
      <w:sz w:val="18"/>
      <w:szCs w:val="18"/>
    </w:rPr>
  </w:style>
  <w:style w:type="paragraph" w:styleId="12">
    <w:name w:val="Subtitle"/>
    <w:basedOn w:val="1"/>
    <w:next w:val="1"/>
    <w:link w:val="25"/>
    <w:qFormat/>
    <w:uiPriority w:val="11"/>
    <w:pPr>
      <w:spacing w:before="240" w:after="60" w:line="312" w:lineRule="auto"/>
      <w:jc w:val="center"/>
      <w:outlineLvl w:val="1"/>
    </w:pPr>
    <w:rPr>
      <w:rFonts w:ascii="Cambria" w:hAnsi="Cambria" w:eastAsia="宋体" w:cs="Times New Roman"/>
      <w:b/>
      <w:bCs/>
      <w:kern w:val="28"/>
      <w:sz w:val="32"/>
      <w:szCs w:val="32"/>
    </w:rPr>
  </w:style>
  <w:style w:type="paragraph" w:styleId="13">
    <w:name w:val="Normal (Web)"/>
    <w:basedOn w:val="1"/>
    <w:unhideWhenUsed/>
    <w:qFormat/>
    <w:uiPriority w:val="0"/>
    <w:pPr>
      <w:widowControl/>
      <w:spacing w:before="100" w:beforeAutospacing="1" w:after="100" w:afterAutospacing="1" w:line="240" w:lineRule="auto"/>
      <w:jc w:val="left"/>
    </w:pPr>
    <w:rPr>
      <w:rFonts w:ascii="宋体" w:hAnsi="宋体" w:eastAsia="宋体" w:cs="宋体"/>
      <w:kern w:val="0"/>
      <w:szCs w:val="24"/>
    </w:rPr>
  </w:style>
  <w:style w:type="paragraph" w:styleId="14">
    <w:name w:val="Title"/>
    <w:basedOn w:val="1"/>
    <w:next w:val="2"/>
    <w:link w:val="24"/>
    <w:qFormat/>
    <w:uiPriority w:val="10"/>
    <w:pPr>
      <w:spacing w:beforeLines="100" w:afterLines="50" w:line="240" w:lineRule="auto"/>
      <w:jc w:val="center"/>
      <w:outlineLvl w:val="0"/>
    </w:pPr>
    <w:rPr>
      <w:rFonts w:eastAsia="宋体" w:cs="Times New Roman"/>
      <w:b/>
      <w:bCs/>
      <w:sz w:val="36"/>
      <w:szCs w:val="32"/>
    </w:rPr>
  </w:style>
  <w:style w:type="paragraph" w:styleId="15">
    <w:name w:val="annotation subject"/>
    <w:basedOn w:val="7"/>
    <w:next w:val="7"/>
    <w:link w:val="32"/>
    <w:unhideWhenUsed/>
    <w:qFormat/>
    <w:uiPriority w:val="99"/>
    <w:rPr>
      <w:b/>
      <w:bCs/>
    </w:r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unhideWhenUsed/>
    <w:qFormat/>
    <w:uiPriority w:val="99"/>
    <w:rPr>
      <w:sz w:val="21"/>
      <w:szCs w:val="21"/>
    </w:rPr>
  </w:style>
  <w:style w:type="character" w:customStyle="1" w:styleId="20">
    <w:name w:val="标题 1 Char"/>
    <w:link w:val="3"/>
    <w:qFormat/>
    <w:uiPriority w:val="9"/>
    <w:rPr>
      <w:rFonts w:ascii="Times New Roman" w:hAnsi="Times New Roman"/>
      <w:b/>
      <w:bCs/>
      <w:kern w:val="44"/>
      <w:sz w:val="28"/>
      <w:szCs w:val="44"/>
    </w:rPr>
  </w:style>
  <w:style w:type="character" w:customStyle="1" w:styleId="21">
    <w:name w:val="标题 2 Char"/>
    <w:link w:val="4"/>
    <w:qFormat/>
    <w:uiPriority w:val="9"/>
    <w:rPr>
      <w:rFonts w:ascii="Times New Roman" w:hAnsi="Times New Roman" w:eastAsia="宋体" w:cs="Times New Roman"/>
      <w:b/>
      <w:bCs/>
      <w:sz w:val="24"/>
      <w:szCs w:val="32"/>
    </w:rPr>
  </w:style>
  <w:style w:type="character" w:customStyle="1" w:styleId="22">
    <w:name w:val="标题 3 Char"/>
    <w:link w:val="5"/>
    <w:qFormat/>
    <w:uiPriority w:val="9"/>
    <w:rPr>
      <w:rFonts w:ascii="Times New Roman" w:hAnsi="Times New Roman"/>
      <w:bCs/>
      <w:sz w:val="24"/>
      <w:szCs w:val="32"/>
    </w:rPr>
  </w:style>
  <w:style w:type="character" w:customStyle="1" w:styleId="23">
    <w:name w:val="标题 4 Char"/>
    <w:basedOn w:val="17"/>
    <w:link w:val="6"/>
    <w:qFormat/>
    <w:uiPriority w:val="9"/>
    <w:rPr>
      <w:rFonts w:asciiTheme="majorHAnsi" w:hAnsiTheme="majorHAnsi" w:eastAsiaTheme="majorEastAsia" w:cstheme="majorBidi"/>
      <w:bCs/>
      <w:sz w:val="24"/>
      <w:szCs w:val="28"/>
    </w:rPr>
  </w:style>
  <w:style w:type="character" w:customStyle="1" w:styleId="24">
    <w:name w:val="标题 Char"/>
    <w:link w:val="14"/>
    <w:qFormat/>
    <w:uiPriority w:val="10"/>
    <w:rPr>
      <w:rFonts w:ascii="Times New Roman" w:hAnsi="Times New Roman" w:eastAsia="宋体" w:cs="Times New Roman"/>
      <w:b/>
      <w:bCs/>
      <w:sz w:val="36"/>
      <w:szCs w:val="32"/>
    </w:rPr>
  </w:style>
  <w:style w:type="character" w:customStyle="1" w:styleId="25">
    <w:name w:val="副标题 Char"/>
    <w:link w:val="12"/>
    <w:qFormat/>
    <w:uiPriority w:val="11"/>
    <w:rPr>
      <w:rFonts w:ascii="Cambria" w:hAnsi="Cambria" w:eastAsia="宋体" w:cs="Times New Roman"/>
      <w:b/>
      <w:bCs/>
      <w:kern w:val="28"/>
      <w:sz w:val="32"/>
      <w:szCs w:val="32"/>
    </w:rPr>
  </w:style>
  <w:style w:type="paragraph" w:customStyle="1" w:styleId="26">
    <w:name w:val="列出段落1"/>
    <w:basedOn w:val="1"/>
    <w:qFormat/>
    <w:uiPriority w:val="34"/>
    <w:pPr>
      <w:ind w:firstLine="420" w:firstLineChars="200"/>
    </w:pPr>
  </w:style>
  <w:style w:type="character" w:customStyle="1" w:styleId="27">
    <w:name w:val="页眉 Char"/>
    <w:basedOn w:val="17"/>
    <w:link w:val="11"/>
    <w:qFormat/>
    <w:uiPriority w:val="0"/>
    <w:rPr>
      <w:rFonts w:ascii="Times New Roman" w:hAnsi="Times New Roman" w:eastAsia="宋体" w:cs="Times New Roman"/>
      <w:sz w:val="18"/>
      <w:szCs w:val="18"/>
    </w:rPr>
  </w:style>
  <w:style w:type="character" w:customStyle="1" w:styleId="28">
    <w:name w:val="页脚 Char"/>
    <w:basedOn w:val="17"/>
    <w:link w:val="10"/>
    <w:qFormat/>
    <w:uiPriority w:val="99"/>
    <w:rPr>
      <w:rFonts w:ascii="Times New Roman" w:hAnsi="Times New Roman"/>
      <w:sz w:val="18"/>
      <w:szCs w:val="18"/>
    </w:rPr>
  </w:style>
  <w:style w:type="character" w:customStyle="1" w:styleId="29">
    <w:name w:val="日期 Char"/>
    <w:basedOn w:val="17"/>
    <w:link w:val="8"/>
    <w:semiHidden/>
    <w:qFormat/>
    <w:uiPriority w:val="99"/>
    <w:rPr>
      <w:rFonts w:ascii="Times New Roman" w:hAnsi="Times New Roman"/>
      <w:sz w:val="24"/>
    </w:rPr>
  </w:style>
  <w:style w:type="character" w:customStyle="1" w:styleId="30">
    <w:name w:val="批注框文本 Char"/>
    <w:basedOn w:val="17"/>
    <w:link w:val="9"/>
    <w:semiHidden/>
    <w:qFormat/>
    <w:uiPriority w:val="99"/>
    <w:rPr>
      <w:rFonts w:ascii="Times New Roman" w:hAnsi="Times New Roman"/>
      <w:sz w:val="18"/>
      <w:szCs w:val="18"/>
    </w:rPr>
  </w:style>
  <w:style w:type="character" w:customStyle="1" w:styleId="31">
    <w:name w:val="批注文字 Char"/>
    <w:basedOn w:val="17"/>
    <w:link w:val="7"/>
    <w:semiHidden/>
    <w:qFormat/>
    <w:uiPriority w:val="99"/>
    <w:rPr>
      <w:rFonts w:ascii="Times New Roman" w:hAnsi="Times New Roman"/>
      <w:sz w:val="24"/>
    </w:rPr>
  </w:style>
  <w:style w:type="character" w:customStyle="1" w:styleId="32">
    <w:name w:val="批注主题 Char"/>
    <w:basedOn w:val="31"/>
    <w:link w:val="15"/>
    <w:semiHidden/>
    <w:qFormat/>
    <w:uiPriority w:val="99"/>
    <w:rPr>
      <w:rFonts w:ascii="Times New Roman" w:hAnsi="Times New Roman"/>
      <w:b/>
      <w:bCs/>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pku</Company>
  <Pages>1</Pages>
  <Words>229</Words>
  <Characters>1309</Characters>
  <Lines>10</Lines>
  <Paragraphs>3</Paragraphs>
  <TotalTime>32</TotalTime>
  <ScaleCrop>false</ScaleCrop>
  <LinksUpToDate>false</LinksUpToDate>
  <CharactersWithSpaces>1535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2023-09-18T05:41:00Z</dcterms:created>
  <dc:creator>yanglin chen</dc:creator>
  <cp:lastModifiedBy>DELL</cp:lastModifiedBy>
  <cp:lastPrinted>2016-09-20T07:27:00Z</cp:lastPrinted>
  <dcterms:modified xsi:type="dcterms:W3CDTF">2026-09-16T03:06:33Z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72266808CF3342288F6677EAF5B2E298</vt:lpwstr>
  </property>
</Properties>
</file>