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firstLine="630" w:firstLineChars="175"/>
        <w:jc w:val="center"/>
        <w:rPr>
          <w:rFonts w:hint="eastAsia" w:ascii="方正小标宋简体" w:hAnsi="方正小标宋简体" w:eastAsia="方正小标宋简体" w:cs="方正小标宋简体"/>
          <w:b/>
          <w:sz w:val="36"/>
          <w:szCs w:val="36"/>
        </w:rPr>
      </w:pPr>
      <w:r>
        <w:rPr>
          <w:rFonts w:hint="eastAsia" w:ascii="方正小标宋简体" w:hAnsi="方正小标宋简体" w:eastAsia="方正小标宋简体" w:cs="方正小标宋简体"/>
          <w:b/>
          <w:sz w:val="36"/>
          <w:szCs w:val="36"/>
        </w:rPr>
        <w:t>关于北京大学202</w:t>
      </w:r>
      <w:r>
        <w:rPr>
          <w:rFonts w:hint="eastAsia" w:ascii="方正小标宋简体" w:hAnsi="方正小标宋简体" w:eastAsia="方正小标宋简体" w:cs="方正小标宋简体"/>
          <w:b/>
          <w:sz w:val="36"/>
          <w:szCs w:val="36"/>
          <w:lang w:val="en-US" w:eastAsia="zh-CN"/>
        </w:rPr>
        <w:t>6</w:t>
      </w:r>
      <w:r>
        <w:rPr>
          <w:rFonts w:hint="eastAsia" w:ascii="方正小标宋简体" w:hAnsi="方正小标宋简体" w:eastAsia="方正小标宋简体" w:cs="方正小标宋简体"/>
          <w:b/>
          <w:sz w:val="36"/>
          <w:szCs w:val="36"/>
        </w:rPr>
        <w:t>-202</w:t>
      </w:r>
      <w:r>
        <w:rPr>
          <w:rFonts w:hint="eastAsia" w:ascii="方正小标宋简体" w:hAnsi="方正小标宋简体" w:eastAsia="方正小标宋简体" w:cs="方正小标宋简体"/>
          <w:b/>
          <w:sz w:val="36"/>
          <w:szCs w:val="36"/>
          <w:lang w:val="en-US" w:eastAsia="zh-CN"/>
        </w:rPr>
        <w:t>7</w:t>
      </w:r>
      <w:r>
        <w:rPr>
          <w:rFonts w:hint="eastAsia" w:ascii="方正小标宋简体" w:hAnsi="方正小标宋简体" w:eastAsia="方正小标宋简体" w:cs="方正小标宋简体"/>
          <w:b/>
          <w:sz w:val="36"/>
          <w:szCs w:val="36"/>
        </w:rPr>
        <w:t>学年</w:t>
      </w:r>
    </w:p>
    <w:p>
      <w:pPr>
        <w:spacing w:line="360" w:lineRule="auto"/>
        <w:ind w:firstLine="630" w:firstLineChars="175"/>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b/>
          <w:sz w:val="36"/>
          <w:szCs w:val="36"/>
        </w:rPr>
        <w:t>博士研究生校长奖学金评审工作的通知</w:t>
      </w:r>
    </w:p>
    <w:p>
      <w:pPr>
        <w:keepNext w:val="0"/>
        <w:keepLines w:val="0"/>
        <w:pageBreakBefore w:val="0"/>
        <w:widowControl w:val="0"/>
        <w:kinsoku/>
        <w:wordWrap/>
        <w:overflowPunct/>
        <w:topLinePunct w:val="0"/>
        <w:autoSpaceDE/>
        <w:autoSpaceDN/>
        <w:bidi w:val="0"/>
        <w:adjustRightInd/>
        <w:snapToGrid/>
        <w:spacing w:before="157" w:beforeLines="50" w:line="360" w:lineRule="auto"/>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各位同学：</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为吸引优质生源，优化高层次人才培养环境，激励博士生从事高水平科学研究，促进学校的学科发展和研究生培养质量的全面提高，北京大学设立博士研究生校长奖学金。根据《北京大学博士研究生校长奖学金管理办法》，现启动202</w:t>
      </w: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rPr>
        <w:t>-202</w:t>
      </w:r>
      <w:r>
        <w:rPr>
          <w:rFonts w:hint="eastAsia" w:ascii="仿宋_GB2312" w:hAnsi="仿宋_GB2312" w:eastAsia="仿宋_GB2312" w:cs="仿宋_GB2312"/>
          <w:sz w:val="24"/>
          <w:szCs w:val="24"/>
          <w:lang w:val="en-US" w:eastAsia="zh-CN"/>
        </w:rPr>
        <w:t>7</w:t>
      </w:r>
      <w:r>
        <w:rPr>
          <w:rFonts w:hint="eastAsia" w:ascii="仿宋_GB2312" w:hAnsi="仿宋_GB2312" w:eastAsia="仿宋_GB2312" w:cs="仿宋_GB2312"/>
          <w:sz w:val="24"/>
          <w:szCs w:val="24"/>
        </w:rPr>
        <w:t>学年医学部博士研究生该项奖学金的评审工作，具体工作安排如下：</w:t>
      </w:r>
    </w:p>
    <w:p>
      <w:pPr>
        <w:spacing w:line="360" w:lineRule="auto"/>
        <w:ind w:firstLine="422" w:firstLineChars="175"/>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一、名额分配与资助标准</w:t>
      </w:r>
    </w:p>
    <w:p>
      <w:pPr>
        <w:spacing w:line="360" w:lineRule="auto"/>
        <w:ind w:firstLine="420" w:firstLineChars="175"/>
        <w:rPr>
          <w:rFonts w:hint="eastAsia"/>
          <w:sz w:val="4"/>
          <w:szCs w:val="4"/>
        </w:rPr>
      </w:pPr>
      <w:r>
        <w:rPr>
          <w:rFonts w:hint="eastAsia" w:ascii="仿宋_GB2312" w:hAnsi="仿宋_GB2312" w:eastAsia="仿宋_GB2312" w:cs="仿宋_GB2312"/>
          <w:sz w:val="24"/>
          <w:szCs w:val="24"/>
        </w:rPr>
        <w:t>1.我院名额如下</w:t>
      </w:r>
    </w:p>
    <w:tbl>
      <w:tblPr>
        <w:tblStyle w:val="10"/>
        <w:tblW w:w="44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7"/>
        <w:gridCol w:w="27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7" w:type="dxa"/>
          </w:tcPr>
          <w:p>
            <w:pPr>
              <w:spacing w:line="360" w:lineRule="auto"/>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类型</w:t>
            </w:r>
          </w:p>
        </w:tc>
        <w:tc>
          <w:tcPr>
            <w:tcW w:w="2766" w:type="dxa"/>
          </w:tcPr>
          <w:p>
            <w:pPr>
              <w:spacing w:line="360" w:lineRule="auto"/>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学术</w:t>
            </w:r>
            <w:r>
              <w:rPr>
                <w:rFonts w:hint="eastAsia" w:ascii="仿宋_GB2312" w:hAnsi="仿宋_GB2312" w:eastAsia="仿宋_GB2312" w:cs="仿宋_GB2312"/>
                <w:sz w:val="24"/>
                <w:szCs w:val="24"/>
              </w:rPr>
              <w:t>型博士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7" w:type="dxa"/>
          </w:tcPr>
          <w:p>
            <w:pPr>
              <w:spacing w:line="360" w:lineRule="auto"/>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名额</w:t>
            </w:r>
          </w:p>
        </w:tc>
        <w:tc>
          <w:tcPr>
            <w:tcW w:w="2766" w:type="dxa"/>
          </w:tcPr>
          <w:p>
            <w:pPr>
              <w:spacing w:line="360" w:lineRule="auto"/>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8</w:t>
            </w:r>
            <w:r>
              <w:rPr>
                <w:rFonts w:hint="eastAsia" w:ascii="仿宋_GB2312" w:hAnsi="仿宋_GB2312" w:eastAsia="仿宋_GB2312" w:cs="仿宋_GB2312"/>
                <w:sz w:val="24"/>
                <w:szCs w:val="24"/>
              </w:rPr>
              <w:t>人</w:t>
            </w:r>
          </w:p>
        </w:tc>
      </w:tr>
    </w:tbl>
    <w:p>
      <w:pPr>
        <w:keepNext w:val="0"/>
        <w:keepLines w:val="0"/>
        <w:pageBreakBefore w:val="0"/>
        <w:widowControl w:val="0"/>
        <w:kinsoku/>
        <w:wordWrap/>
        <w:overflowPunct/>
        <w:topLinePunct w:val="0"/>
        <w:autoSpaceDE/>
        <w:autoSpaceDN/>
        <w:bidi w:val="0"/>
        <w:adjustRightInd/>
        <w:snapToGrid/>
        <w:spacing w:before="157" w:beforeLines="50" w:line="360" w:lineRule="auto"/>
        <w:ind w:firstLine="420" w:firstLineChars="175"/>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2.校长奖学金的生活津贴目前标准为7.2万元/人/年，按月发放，同时配套学费津贴，其额度等同于学术学位博士研究生年度学费，共计8.2万元/人/年。</w:t>
      </w:r>
      <w:r>
        <w:rPr>
          <w:rFonts w:hint="eastAsia" w:ascii="仿宋_GB2312" w:hAnsi="仿宋_GB2312" w:eastAsia="仿宋_GB2312" w:cs="仿宋_GB2312"/>
          <w:sz w:val="24"/>
          <w:szCs w:val="24"/>
          <w:lang w:val="en-US" w:eastAsia="zh-CN"/>
        </w:rPr>
        <w:t>医学创新交叉研究生需由导师出资其中2.5万元。</w:t>
      </w:r>
      <w:bookmarkStart w:id="0" w:name="_GoBack"/>
      <w:bookmarkEnd w:id="0"/>
    </w:p>
    <w:p>
      <w:pPr>
        <w:pStyle w:val="15"/>
        <w:numPr>
          <w:ilvl w:val="0"/>
          <w:numId w:val="0"/>
        </w:numPr>
        <w:spacing w:line="360" w:lineRule="auto"/>
        <w:ind w:left="422" w:leftChars="0"/>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lang w:val="en-US" w:eastAsia="zh-CN"/>
        </w:rPr>
        <w:t>二、</w:t>
      </w:r>
      <w:r>
        <w:rPr>
          <w:rFonts w:hint="eastAsia" w:ascii="仿宋_GB2312" w:hAnsi="仿宋_GB2312" w:eastAsia="仿宋_GB2312" w:cs="仿宋_GB2312"/>
          <w:b/>
          <w:bCs/>
          <w:sz w:val="24"/>
          <w:szCs w:val="24"/>
        </w:rPr>
        <w:t>资助对象与资格</w:t>
      </w:r>
    </w:p>
    <w:p>
      <w:pPr>
        <w:pStyle w:val="15"/>
        <w:keepNext w:val="0"/>
        <w:keepLines w:val="0"/>
        <w:pageBreakBefore w:val="0"/>
        <w:widowControl w:val="0"/>
        <w:kinsoku/>
        <w:wordWrap/>
        <w:overflowPunct/>
        <w:topLinePunct w:val="0"/>
        <w:autoSpaceDE/>
        <w:autoSpaceDN/>
        <w:bidi w:val="0"/>
        <w:adjustRightInd/>
        <w:snapToGrid/>
        <w:spacing w:line="360" w:lineRule="auto"/>
        <w:ind w:left="238" w:firstLine="48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校长奖学金的申请对象为国家招生计划内攻读北京大学学术学位的不享受工资待遇的全日制博士研究生。人事档案不转入本校的研究生以及专业学位和其他经特别说明的研究生教育项目招收的研究生不在资助之列。</w:t>
      </w:r>
    </w:p>
    <w:p>
      <w:pPr>
        <w:pStyle w:val="15"/>
        <w:keepNext w:val="0"/>
        <w:keepLines w:val="0"/>
        <w:pageBreakBefore w:val="0"/>
        <w:widowControl w:val="0"/>
        <w:kinsoku/>
        <w:wordWrap/>
        <w:overflowPunct/>
        <w:topLinePunct w:val="0"/>
        <w:autoSpaceDE/>
        <w:autoSpaceDN/>
        <w:bidi w:val="0"/>
        <w:adjustRightInd/>
        <w:snapToGrid/>
        <w:spacing w:line="360" w:lineRule="auto"/>
        <w:ind w:left="238" w:firstLine="48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此外，处于延期阶段的博士研究生不再参加校长奖学金的评定。</w:t>
      </w:r>
    </w:p>
    <w:p>
      <w:pPr>
        <w:spacing w:line="360" w:lineRule="auto"/>
        <w:ind w:firstLine="422" w:firstLineChars="175"/>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三、具体工作要求</w:t>
      </w:r>
    </w:p>
    <w:p>
      <w:pPr>
        <w:spacing w:line="360" w:lineRule="auto"/>
        <w:ind w:firstLine="420" w:firstLineChars="175"/>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1.严格按照《北京大学博士研究生校长奖学金管理办法》要求进行评审。</w:t>
      </w:r>
    </w:p>
    <w:p>
      <w:pPr>
        <w:keepNext w:val="0"/>
        <w:keepLines w:val="0"/>
        <w:pageBreakBefore w:val="0"/>
        <w:widowControl w:val="0"/>
        <w:kinsoku/>
        <w:wordWrap/>
        <w:overflowPunct/>
        <w:topLinePunct w:val="0"/>
        <w:autoSpaceDE/>
        <w:autoSpaceDN/>
        <w:bidi w:val="0"/>
        <w:adjustRightInd/>
        <w:snapToGrid/>
        <w:spacing w:line="360" w:lineRule="auto"/>
        <w:ind w:firstLine="420" w:firstLineChars="175"/>
        <w:textAlignment w:val="auto"/>
        <w:rPr>
          <w:rFonts w:hint="eastAsia" w:ascii="仿宋_GB2312" w:hAnsi="仿宋_GB2312" w:eastAsia="仿宋_GB2312" w:cs="仿宋_GB2312"/>
          <w:b/>
          <w:bCs/>
          <w:color w:val="FF0000"/>
          <w:sz w:val="24"/>
          <w:szCs w:val="24"/>
        </w:rPr>
      </w:pPr>
      <w:r>
        <w:rPr>
          <w:rFonts w:hint="eastAsia" w:ascii="仿宋_GB2312" w:hAnsi="仿宋_GB2312" w:eastAsia="仿宋_GB2312" w:cs="仿宋_GB2312"/>
          <w:sz w:val="24"/>
          <w:szCs w:val="24"/>
        </w:rPr>
        <w:t>2.坚持德、智、体全面发展的标准，对申请的学生在综合素质测评的基础上进行考查。</w:t>
      </w:r>
      <w:r>
        <w:rPr>
          <w:rFonts w:hint="eastAsia" w:ascii="仿宋_GB2312" w:hAnsi="仿宋_GB2312" w:eastAsia="仿宋_GB2312" w:cs="仿宋_GB2312"/>
          <w:b/>
          <w:bCs/>
          <w:color w:val="FF0000"/>
          <w:sz w:val="24"/>
          <w:szCs w:val="24"/>
        </w:rPr>
        <w:t>提名获得博士研究生校长奖学金的，原则上须首先获得今年的校级奖励。</w:t>
      </w:r>
    </w:p>
    <w:p>
      <w:pPr>
        <w:keepNext w:val="0"/>
        <w:keepLines w:val="0"/>
        <w:pageBreakBefore w:val="0"/>
        <w:widowControl w:val="0"/>
        <w:kinsoku/>
        <w:wordWrap/>
        <w:overflowPunct/>
        <w:topLinePunct w:val="0"/>
        <w:autoSpaceDE/>
        <w:autoSpaceDN/>
        <w:bidi w:val="0"/>
        <w:adjustRightInd/>
        <w:snapToGrid/>
        <w:spacing w:line="360" w:lineRule="auto"/>
        <w:ind w:firstLine="420" w:firstLineChars="175"/>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3.科研型博士可同时参加校长奖学金和国家奖学金答辩，根据最终排名结果在两种奖项中择其一，两种奖项不可兼得。</w:t>
      </w:r>
    </w:p>
    <w:p>
      <w:pPr>
        <w:pStyle w:val="2"/>
        <w:rPr>
          <w:rFonts w:hint="default" w:eastAsia="仿宋_GB2312"/>
          <w:lang w:val="en-US" w:eastAsia="zh-CN"/>
        </w:rPr>
      </w:pPr>
      <w:r>
        <w:rPr>
          <w:rFonts w:hint="eastAsia" w:ascii="仿宋_GB2312" w:hAnsi="仿宋_GB2312" w:eastAsia="仿宋_GB2312" w:cs="仿宋_GB2312"/>
          <w:sz w:val="24"/>
          <w:szCs w:val="24"/>
          <w:lang w:val="en-US" w:eastAsia="zh-CN"/>
        </w:rPr>
        <w:t>4.医学创新交叉研究生需提交导师同意出资证明。</w:t>
      </w:r>
    </w:p>
    <w:p>
      <w:pPr>
        <w:spacing w:line="360" w:lineRule="auto"/>
        <w:ind w:firstLine="422" w:firstLineChars="175"/>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四、评审过程</w:t>
      </w:r>
    </w:p>
    <w:p>
      <w:pPr>
        <w:pStyle w:val="2"/>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根据学生素质综合测评排名，在符合参评范围的同学中按照分配名额的1:1.5划定参加现场答辩范围。学生素质综合测评得分（满分100分）*0.6与现场答辩得分（满分40分）相加为最后总得分。</w:t>
      </w:r>
    </w:p>
    <w:p>
      <w:pPr>
        <w:spacing w:line="360" w:lineRule="auto"/>
        <w:ind w:firstLine="422" w:firstLineChars="175"/>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lang w:val="en-US" w:eastAsia="zh-CN"/>
        </w:rPr>
        <w:t>五、</w:t>
      </w:r>
      <w:r>
        <w:rPr>
          <w:rFonts w:hint="eastAsia" w:ascii="仿宋_GB2312" w:hAnsi="仿宋_GB2312" w:eastAsia="仿宋_GB2312" w:cs="仿宋_GB2312"/>
          <w:b/>
          <w:bCs/>
          <w:sz w:val="24"/>
          <w:szCs w:val="24"/>
        </w:rPr>
        <w:t>评审程序</w:t>
      </w:r>
    </w:p>
    <w:p>
      <w:pPr>
        <w:spacing w:line="360" w:lineRule="auto"/>
        <w:ind w:firstLine="420" w:firstLineChars="175"/>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1.初审：评审答辩初定9月</w:t>
      </w:r>
      <w:r>
        <w:rPr>
          <w:rFonts w:hint="eastAsia" w:ascii="仿宋_GB2312" w:hAnsi="仿宋_GB2312" w:eastAsia="仿宋_GB2312" w:cs="仿宋_GB2312"/>
          <w:sz w:val="24"/>
          <w:szCs w:val="24"/>
          <w:lang w:val="en-US" w:eastAsia="zh-CN"/>
        </w:rPr>
        <w:t>22日12:00</w:t>
      </w:r>
      <w:r>
        <w:rPr>
          <w:rFonts w:hint="eastAsia" w:ascii="仿宋_GB2312" w:hAnsi="仿宋_GB2312" w:eastAsia="仿宋_GB2312" w:cs="仿宋_GB2312"/>
          <w:sz w:val="24"/>
          <w:szCs w:val="24"/>
        </w:rPr>
        <w:t>，地点为科研楼七层会议室，如遇时间地点变更则另行通知。由候选者本人进行三分钟的自行答辩，评审小组对候选人进行评选审核并确定初评结果。</w:t>
      </w:r>
    </w:p>
    <w:p>
      <w:pPr>
        <w:spacing w:line="360" w:lineRule="auto"/>
        <w:ind w:firstLine="420" w:firstLineChars="175"/>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2.公示：教育处将对初评结果进行公示。</w:t>
      </w:r>
    </w:p>
    <w:p>
      <w:pPr>
        <w:spacing w:line="360" w:lineRule="auto"/>
        <w:ind w:firstLine="420" w:firstLineChars="175"/>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3.终审：医学部研究生奖助委员会审议并确定最终获奖名单。</w:t>
      </w:r>
    </w:p>
    <w:p>
      <w:pPr>
        <w:spacing w:line="360" w:lineRule="auto"/>
        <w:ind w:firstLine="422" w:firstLineChars="175"/>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六、注意事项</w:t>
      </w:r>
    </w:p>
    <w:p>
      <w:pPr>
        <w:spacing w:line="360" w:lineRule="auto"/>
        <w:ind w:firstLine="420" w:firstLineChars="175"/>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1.校长奖学金的评审应遵循“公平、公正、公开、择优”的原则，明确“育人为本”的基本导向，引导研究生德才兼备、培养创新能力、全面发展。</w:t>
      </w:r>
    </w:p>
    <w:p>
      <w:pPr>
        <w:spacing w:line="360" w:lineRule="auto"/>
        <w:ind w:firstLine="420" w:firstLineChars="175"/>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2.校长奖学金与其他奖学金不兼得。</w:t>
      </w:r>
    </w:p>
    <w:p>
      <w:pPr>
        <w:pStyle w:val="2"/>
        <w:spacing w:line="360" w:lineRule="auto"/>
        <w:ind w:firstLine="480"/>
        <w:rPr>
          <w:rFonts w:hint="eastAsia" w:ascii="仿宋_GB2312" w:hAnsi="仿宋_GB2312" w:eastAsia="仿宋_GB2312" w:cs="仿宋_GB2312"/>
          <w:color w:val="FF0000"/>
          <w:sz w:val="24"/>
          <w:szCs w:val="24"/>
        </w:rPr>
      </w:pPr>
    </w:p>
    <w:p>
      <w:pPr>
        <w:pStyle w:val="2"/>
        <w:spacing w:line="360" w:lineRule="auto"/>
        <w:ind w:firstLine="480"/>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联系方式：</w:t>
      </w:r>
      <w:r>
        <w:rPr>
          <w:rFonts w:hint="eastAsia" w:ascii="仿宋_GB2312" w:hAnsi="仿宋_GB2312" w:eastAsia="仿宋_GB2312" w:cs="仿宋_GB2312"/>
          <w:sz w:val="24"/>
          <w:szCs w:val="24"/>
          <w:lang w:val="en-US" w:eastAsia="zh-CN"/>
        </w:rPr>
        <w:t>赵</w:t>
      </w:r>
      <w:r>
        <w:rPr>
          <w:rFonts w:hint="eastAsia" w:ascii="仿宋_GB2312" w:hAnsi="仿宋_GB2312" w:eastAsia="仿宋_GB2312" w:cs="仿宋_GB2312"/>
          <w:sz w:val="24"/>
          <w:szCs w:val="24"/>
        </w:rPr>
        <w:t>老师 88196</w:t>
      </w:r>
      <w:r>
        <w:rPr>
          <w:rFonts w:hint="eastAsia" w:ascii="仿宋_GB2312" w:hAnsi="仿宋_GB2312" w:eastAsia="仿宋_GB2312" w:cs="仿宋_GB2312"/>
          <w:sz w:val="24"/>
          <w:szCs w:val="24"/>
          <w:lang w:val="en-US" w:eastAsia="zh-CN"/>
        </w:rPr>
        <w:t>837</w:t>
      </w:r>
    </w:p>
    <w:p>
      <w:pPr>
        <w:spacing w:line="360" w:lineRule="auto"/>
        <w:ind w:firstLine="420" w:firstLineChars="175"/>
        <w:rPr>
          <w:rFonts w:hint="eastAsia" w:ascii="仿宋_GB2312" w:hAnsi="仿宋_GB2312" w:eastAsia="仿宋_GB2312" w:cs="仿宋_GB2312"/>
          <w:sz w:val="24"/>
          <w:szCs w:val="24"/>
        </w:rPr>
      </w:pPr>
    </w:p>
    <w:p>
      <w:pPr>
        <w:wordWrap w:val="0"/>
        <w:spacing w:line="360" w:lineRule="auto"/>
        <w:ind w:firstLine="420" w:firstLineChars="175"/>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北京大学临床肿瘤学院 教育处</w:t>
      </w:r>
    </w:p>
    <w:p>
      <w:pPr>
        <w:spacing w:line="360" w:lineRule="auto"/>
        <w:ind w:firstLine="420" w:firstLineChars="175"/>
        <w:jc w:val="right"/>
        <w:rPr>
          <w:rFonts w:hint="eastAsia" w:ascii="仿宋_GB2312" w:hAnsi="仿宋_GB2312" w:eastAsia="仿宋_GB2312" w:cs="仿宋_GB2312"/>
          <w:sz w:val="24"/>
          <w:szCs w:val="24"/>
        </w:rPr>
      </w:pPr>
      <w:r>
        <w:rPr>
          <w:rFonts w:hint="eastAsia" w:ascii="仿宋_GB2312" w:hAnsi="仿宋_GB2312" w:eastAsia="仿宋_GB2312" w:cs="仿宋_GB2312"/>
          <w:sz w:val="24"/>
        </w:rPr>
        <w:t>202</w:t>
      </w:r>
      <w:r>
        <w:rPr>
          <w:rFonts w:hint="eastAsia" w:ascii="仿宋_GB2312" w:hAnsi="仿宋_GB2312" w:eastAsia="仿宋_GB2312" w:cs="仿宋_GB2312"/>
          <w:sz w:val="24"/>
          <w:lang w:val="en-US" w:eastAsia="zh-CN"/>
        </w:rPr>
        <w:t>6</w:t>
      </w:r>
      <w:r>
        <w:rPr>
          <w:rFonts w:hint="eastAsia" w:ascii="仿宋_GB2312" w:hAnsi="仿宋_GB2312" w:eastAsia="仿宋_GB2312" w:cs="仿宋_GB2312"/>
          <w:sz w:val="24"/>
        </w:rPr>
        <w:t>年9月1</w:t>
      </w:r>
      <w:r>
        <w:rPr>
          <w:rFonts w:hint="eastAsia" w:ascii="仿宋_GB2312" w:hAnsi="仿宋_GB2312" w:eastAsia="仿宋_GB2312" w:cs="仿宋_GB2312"/>
          <w:sz w:val="24"/>
          <w:lang w:val="en-US" w:eastAsia="zh-CN"/>
        </w:rPr>
        <w:t>6</w:t>
      </w:r>
      <w:r>
        <w:rPr>
          <w:rFonts w:hint="eastAsia" w:ascii="仿宋_GB2312" w:hAnsi="仿宋_GB2312" w:eastAsia="仿宋_GB2312" w:cs="仿宋_GB2312"/>
          <w:sz w:val="24"/>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Arial Unicode MS"/>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5115"/>
    <w:rsid w:val="000E0880"/>
    <w:rsid w:val="001A02E9"/>
    <w:rsid w:val="00442082"/>
    <w:rsid w:val="004C5F02"/>
    <w:rsid w:val="004F0C17"/>
    <w:rsid w:val="00610F95"/>
    <w:rsid w:val="00627887"/>
    <w:rsid w:val="006D04EC"/>
    <w:rsid w:val="00746894"/>
    <w:rsid w:val="00752F24"/>
    <w:rsid w:val="00760299"/>
    <w:rsid w:val="007C7A44"/>
    <w:rsid w:val="0096661B"/>
    <w:rsid w:val="009E2E10"/>
    <w:rsid w:val="009E7DC2"/>
    <w:rsid w:val="00BB03AE"/>
    <w:rsid w:val="00C95115"/>
    <w:rsid w:val="00CE7FE0"/>
    <w:rsid w:val="00CF3384"/>
    <w:rsid w:val="00E10FD0"/>
    <w:rsid w:val="00FE29BC"/>
    <w:rsid w:val="03160516"/>
    <w:rsid w:val="03A178A5"/>
    <w:rsid w:val="03DF1433"/>
    <w:rsid w:val="052F2230"/>
    <w:rsid w:val="074B2059"/>
    <w:rsid w:val="084677FC"/>
    <w:rsid w:val="087A289D"/>
    <w:rsid w:val="08BB5327"/>
    <w:rsid w:val="0BC36C9B"/>
    <w:rsid w:val="0CC9342E"/>
    <w:rsid w:val="0EB62043"/>
    <w:rsid w:val="0F1D4A61"/>
    <w:rsid w:val="19F346AD"/>
    <w:rsid w:val="1A275A6F"/>
    <w:rsid w:val="1BCB6594"/>
    <w:rsid w:val="1C847209"/>
    <w:rsid w:val="1DA25FC8"/>
    <w:rsid w:val="1ECF761E"/>
    <w:rsid w:val="200509F9"/>
    <w:rsid w:val="200863CE"/>
    <w:rsid w:val="204371E5"/>
    <w:rsid w:val="206D29E6"/>
    <w:rsid w:val="28D84CFB"/>
    <w:rsid w:val="28DB7FAD"/>
    <w:rsid w:val="2BA074BF"/>
    <w:rsid w:val="2BED3373"/>
    <w:rsid w:val="32F56B31"/>
    <w:rsid w:val="36DC2DDC"/>
    <w:rsid w:val="37016604"/>
    <w:rsid w:val="37844D26"/>
    <w:rsid w:val="3A8F3F4F"/>
    <w:rsid w:val="3CD85C21"/>
    <w:rsid w:val="42C34E03"/>
    <w:rsid w:val="44025242"/>
    <w:rsid w:val="44484FDE"/>
    <w:rsid w:val="44610407"/>
    <w:rsid w:val="44972D57"/>
    <w:rsid w:val="459C5883"/>
    <w:rsid w:val="4697145C"/>
    <w:rsid w:val="46DA3B90"/>
    <w:rsid w:val="46F35E44"/>
    <w:rsid w:val="479F5278"/>
    <w:rsid w:val="487F4D67"/>
    <w:rsid w:val="4B4B615E"/>
    <w:rsid w:val="4BA96AC6"/>
    <w:rsid w:val="4D587590"/>
    <w:rsid w:val="4F7B2544"/>
    <w:rsid w:val="5050508D"/>
    <w:rsid w:val="53D233B7"/>
    <w:rsid w:val="56951691"/>
    <w:rsid w:val="59922AC9"/>
    <w:rsid w:val="59E24C92"/>
    <w:rsid w:val="5AEF013F"/>
    <w:rsid w:val="605C5FF2"/>
    <w:rsid w:val="62C015EB"/>
    <w:rsid w:val="6416312C"/>
    <w:rsid w:val="66EE0979"/>
    <w:rsid w:val="69D07AD8"/>
    <w:rsid w:val="6A124F83"/>
    <w:rsid w:val="6B9A5C38"/>
    <w:rsid w:val="6F2A1759"/>
    <w:rsid w:val="6F7D5005"/>
    <w:rsid w:val="6FB51EC6"/>
    <w:rsid w:val="6FFF37CA"/>
    <w:rsid w:val="70AA05CF"/>
    <w:rsid w:val="72FB1C9D"/>
    <w:rsid w:val="73E51C61"/>
    <w:rsid w:val="74040003"/>
    <w:rsid w:val="740E220F"/>
    <w:rsid w:val="75012D27"/>
    <w:rsid w:val="76050BCB"/>
    <w:rsid w:val="76813395"/>
    <w:rsid w:val="77F12AA2"/>
    <w:rsid w:val="7945246C"/>
    <w:rsid w:val="7BF7608F"/>
    <w:rsid w:val="7ED217C2"/>
    <w:rsid w:val="7EEB36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before="340" w:after="330" w:line="576" w:lineRule="auto"/>
      <w:outlineLvl w:val="0"/>
    </w:pPr>
    <w:rPr>
      <w:b/>
      <w:kern w:val="44"/>
      <w:sz w:val="44"/>
    </w:rPr>
  </w:style>
  <w:style w:type="paragraph" w:styleId="4">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paragraph" w:styleId="5">
    <w:name w:val="heading 3"/>
    <w:basedOn w:val="1"/>
    <w:next w:val="1"/>
    <w:unhideWhenUsed/>
    <w:qFormat/>
    <w:uiPriority w:val="0"/>
    <w:pPr>
      <w:keepNext/>
      <w:keepLines/>
      <w:spacing w:before="260" w:after="260" w:line="413" w:lineRule="auto"/>
      <w:outlineLvl w:val="2"/>
    </w:pPr>
    <w:rPr>
      <w:b/>
      <w:sz w:val="32"/>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200" w:firstLineChars="200"/>
    </w:pPr>
  </w:style>
  <w:style w:type="paragraph" w:styleId="6">
    <w:name w:val="footer"/>
    <w:basedOn w:val="1"/>
    <w:link w:val="14"/>
    <w:qFormat/>
    <w:uiPriority w:val="0"/>
    <w:pPr>
      <w:tabs>
        <w:tab w:val="center" w:pos="4153"/>
        <w:tab w:val="right" w:pos="8306"/>
      </w:tabs>
      <w:snapToGrid w:val="0"/>
      <w:jc w:val="left"/>
    </w:pPr>
    <w:rPr>
      <w:sz w:val="18"/>
      <w:szCs w:val="18"/>
    </w:rPr>
  </w:style>
  <w:style w:type="paragraph" w:styleId="7">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spacing w:beforeAutospacing="1" w:afterAutospacing="1"/>
      <w:jc w:val="left"/>
    </w:pPr>
    <w:rPr>
      <w:rFonts w:cs="Times New Roman"/>
      <w:kern w:val="0"/>
      <w:sz w:val="24"/>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Hyperlink"/>
    <w:basedOn w:val="11"/>
    <w:qFormat/>
    <w:uiPriority w:val="0"/>
    <w:rPr>
      <w:color w:val="0000FF"/>
      <w:u w:val="single"/>
    </w:rPr>
  </w:style>
  <w:style w:type="character" w:customStyle="1" w:styleId="13">
    <w:name w:val="页眉 Char"/>
    <w:basedOn w:val="11"/>
    <w:link w:val="7"/>
    <w:qFormat/>
    <w:uiPriority w:val="0"/>
    <w:rPr>
      <w:rFonts w:asciiTheme="minorHAnsi" w:hAnsiTheme="minorHAnsi" w:eastAsiaTheme="minorEastAsia" w:cstheme="minorBidi"/>
      <w:kern w:val="2"/>
      <w:sz w:val="18"/>
      <w:szCs w:val="18"/>
    </w:rPr>
  </w:style>
  <w:style w:type="character" w:customStyle="1" w:styleId="14">
    <w:name w:val="页脚 Char"/>
    <w:basedOn w:val="11"/>
    <w:link w:val="6"/>
    <w:qFormat/>
    <w:uiPriority w:val="0"/>
    <w:rPr>
      <w:rFonts w:asciiTheme="minorHAnsi" w:hAnsiTheme="minorHAnsi" w:eastAsiaTheme="minorEastAsia" w:cstheme="minorBidi"/>
      <w:kern w:val="2"/>
      <w:sz w:val="18"/>
      <w:szCs w:val="18"/>
    </w:rPr>
  </w:style>
  <w:style w:type="paragraph" w:styleId="15">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156</Words>
  <Characters>890</Characters>
  <Lines>7</Lines>
  <Paragraphs>2</Paragraphs>
  <TotalTime>14</TotalTime>
  <ScaleCrop>false</ScaleCrop>
  <LinksUpToDate>false</LinksUpToDate>
  <CharactersWithSpaces>1044</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2023-09-18T06:16:00Z</dcterms:created>
  <dc:creator>work</dc:creator>
  <cp:lastModifiedBy>DELL</cp:lastModifiedBy>
  <cp:lastPrinted>2019-09-11T11:03:00Z</cp:lastPrinted>
  <dcterms:modified xsi:type="dcterms:W3CDTF">2026-09-16T04:05:38Z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y fmtid="{D5CDD505-2E9C-101B-9397-08002B2CF9AE}" pid="3" name="ICV">
    <vt:lpwstr>844134E210E04D55A23F9BAED58CE8DA</vt:lpwstr>
  </property>
</Properties>
</file>